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FF" w:rsidRDefault="00456D5E" w:rsidP="00D459FF">
      <w:pPr>
        <w:ind w:firstLine="0"/>
        <w:rPr>
          <w:b/>
        </w:rPr>
      </w:pPr>
      <w:bookmarkStart w:id="0" w:name="_GoBack"/>
      <w:bookmarkEnd w:id="0"/>
      <w:r w:rsidRPr="00456D5E">
        <w:rPr>
          <w:b/>
        </w:rPr>
        <w:t xml:space="preserve">ENG </w:t>
      </w:r>
      <w:r w:rsidR="00D140E6">
        <w:rPr>
          <w:b/>
        </w:rPr>
        <w:t>33</w:t>
      </w:r>
      <w:r w:rsidRPr="00456D5E">
        <w:rPr>
          <w:b/>
        </w:rPr>
        <w:t xml:space="preserve">1, </w:t>
      </w:r>
      <w:r w:rsidR="00D140E6">
        <w:rPr>
          <w:b/>
        </w:rPr>
        <w:t xml:space="preserve">Survey of English Literature </w:t>
      </w:r>
      <w:r w:rsidRPr="00456D5E">
        <w:rPr>
          <w:b/>
        </w:rPr>
        <w:t xml:space="preserve">I, </w:t>
      </w:r>
      <w:proofErr w:type="gramStart"/>
      <w:r w:rsidRPr="00456D5E">
        <w:rPr>
          <w:b/>
        </w:rPr>
        <w:t>Fall</w:t>
      </w:r>
      <w:proofErr w:type="gramEnd"/>
      <w:r w:rsidRPr="00456D5E">
        <w:rPr>
          <w:b/>
        </w:rPr>
        <w:t xml:space="preserve"> 201</w:t>
      </w:r>
      <w:r w:rsidR="003A0D75">
        <w:rPr>
          <w:b/>
        </w:rPr>
        <w:t>6</w:t>
      </w:r>
      <w:r w:rsidRPr="00456D5E">
        <w:rPr>
          <w:b/>
        </w:rPr>
        <w:t>, 3 Credit Hours</w:t>
      </w:r>
    </w:p>
    <w:p w:rsidR="00D459FF" w:rsidRDefault="00D459FF" w:rsidP="00D459FF">
      <w:pPr>
        <w:ind w:firstLine="0"/>
      </w:pPr>
    </w:p>
    <w:p w:rsidR="00D459FF" w:rsidRDefault="00456D5E" w:rsidP="00D459FF">
      <w:pPr>
        <w:ind w:firstLine="0"/>
        <w:rPr>
          <w:b/>
        </w:rPr>
      </w:pPr>
      <w:r>
        <w:t>Dr. Sarah Stafford</w:t>
      </w:r>
      <w:r w:rsidR="00BD5665">
        <w:t xml:space="preserve"> Sims</w:t>
      </w:r>
    </w:p>
    <w:p w:rsidR="00D459FF" w:rsidRDefault="00D459FF" w:rsidP="00D459FF">
      <w:pPr>
        <w:ind w:firstLine="0"/>
      </w:pPr>
      <w:r>
        <w:t>Carter 2</w:t>
      </w:r>
      <w:r w:rsidR="00C97DCD">
        <w:t>15A</w:t>
      </w:r>
    </w:p>
    <w:p w:rsidR="00456D5E" w:rsidRDefault="00456D5E" w:rsidP="00D459FF">
      <w:pPr>
        <w:ind w:firstLine="0"/>
      </w:pPr>
      <w:r>
        <w:t>Office Hours:</w:t>
      </w:r>
      <w:r w:rsidR="00382690">
        <w:t xml:space="preserve">  </w:t>
      </w:r>
      <w:r w:rsidR="004A12BA">
        <w:t>2:00-</w:t>
      </w:r>
      <w:r w:rsidR="003A0D75">
        <w:t>4</w:t>
      </w:r>
      <w:r w:rsidR="005A1FB7">
        <w:t>:</w:t>
      </w:r>
      <w:r w:rsidR="003A0D75">
        <w:t>0</w:t>
      </w:r>
      <w:r w:rsidR="005A1FB7">
        <w:t>0 MW</w:t>
      </w:r>
      <w:r w:rsidR="00C97DCD">
        <w:t xml:space="preserve">; </w:t>
      </w:r>
      <w:r w:rsidR="004A12BA">
        <w:t>9</w:t>
      </w:r>
      <w:r w:rsidR="002A0C1A">
        <w:t>:</w:t>
      </w:r>
      <w:r w:rsidR="003A0D75">
        <w:t>00</w:t>
      </w:r>
      <w:r w:rsidR="00625983">
        <w:t>-</w:t>
      </w:r>
      <w:r w:rsidR="003A0D75">
        <w:t>9</w:t>
      </w:r>
      <w:r w:rsidR="004A12BA">
        <w:t>:</w:t>
      </w:r>
      <w:r w:rsidR="003A0D75">
        <w:t>30, 11:00-12:00</w:t>
      </w:r>
      <w:r w:rsidR="002A0C1A">
        <w:t xml:space="preserve"> </w:t>
      </w:r>
      <w:proofErr w:type="spellStart"/>
      <w:r w:rsidR="002A0C1A">
        <w:t>TTh</w:t>
      </w:r>
      <w:proofErr w:type="spellEnd"/>
      <w:r w:rsidR="003A0D75">
        <w:t>; 2:00-3:00 F</w:t>
      </w:r>
    </w:p>
    <w:p w:rsidR="00FE6B11" w:rsidRDefault="00FE6B11" w:rsidP="00D459FF">
      <w:pPr>
        <w:ind w:left="270" w:hanging="270"/>
      </w:pPr>
      <w:r>
        <w:t xml:space="preserve">Phone: </w:t>
      </w:r>
      <w:r w:rsidR="003A0D75">
        <w:t xml:space="preserve"> 789-5053; Home:  (606) 787-8135</w:t>
      </w:r>
      <w:r>
        <w:t xml:space="preserve">; E-mail:  </w:t>
      </w:r>
      <w:hyperlink r:id="rId8" w:history="1">
        <w:r w:rsidRPr="005A5B6E">
          <w:rPr>
            <w:rStyle w:val="Hyperlink"/>
          </w:rPr>
          <w:t>sjstafford@campbellsville.edu</w:t>
        </w:r>
      </w:hyperlink>
    </w:p>
    <w:p w:rsidR="00FE6B11" w:rsidRDefault="00FE6B11"/>
    <w:p w:rsidR="00D459FF" w:rsidRDefault="00FE6B11" w:rsidP="00D459FF">
      <w:pPr>
        <w:ind w:firstLine="0"/>
      </w:pPr>
      <w:r>
        <w:rPr>
          <w:b/>
        </w:rPr>
        <w:t>Course Description</w:t>
      </w:r>
    </w:p>
    <w:p w:rsidR="00D459FF" w:rsidRDefault="00D459FF" w:rsidP="00D459FF">
      <w:pPr>
        <w:ind w:firstLine="0"/>
      </w:pPr>
    </w:p>
    <w:p w:rsidR="00FE6B11" w:rsidRDefault="0027777F" w:rsidP="00D459FF">
      <w:pPr>
        <w:ind w:firstLine="0"/>
      </w:pPr>
      <w:r>
        <w:t xml:space="preserve">ENG 331 is a survey of British literature from the Anglo-Saxon invasion to the </w:t>
      </w:r>
      <w:r w:rsidR="00D140E6">
        <w:t>end of the Neo</w:t>
      </w:r>
      <w:r>
        <w:t>c</w:t>
      </w:r>
      <w:r w:rsidR="00D140E6">
        <w:t>lassic</w:t>
      </w:r>
      <w:r>
        <w:t>al</w:t>
      </w:r>
      <w:r w:rsidR="00D140E6">
        <w:t xml:space="preserve"> Period.  ENG 112 and 210 are prerequisites. </w:t>
      </w:r>
    </w:p>
    <w:p w:rsidR="00D140E6" w:rsidRDefault="00D140E6" w:rsidP="00D459FF">
      <w:pPr>
        <w:ind w:firstLine="0"/>
      </w:pPr>
    </w:p>
    <w:p w:rsidR="00D459FF" w:rsidRDefault="00FE6B11" w:rsidP="00D459FF">
      <w:pPr>
        <w:ind w:firstLine="0"/>
      </w:pPr>
      <w:r>
        <w:rPr>
          <w:b/>
        </w:rPr>
        <w:t>Textbooks</w:t>
      </w:r>
    </w:p>
    <w:p w:rsidR="00D459FF" w:rsidRDefault="00D459FF" w:rsidP="00D459FF">
      <w:pPr>
        <w:ind w:firstLine="0"/>
      </w:pPr>
    </w:p>
    <w:p w:rsidR="00D459FF" w:rsidRDefault="00D140E6" w:rsidP="00D459FF">
      <w:pPr>
        <w:ind w:firstLine="0"/>
      </w:pPr>
      <w:r>
        <w:t xml:space="preserve">Greenblatt, Stephen, </w:t>
      </w:r>
      <w:proofErr w:type="gramStart"/>
      <w:r>
        <w:t>ed</w:t>
      </w:r>
      <w:proofErr w:type="gramEnd"/>
      <w:r>
        <w:t xml:space="preserve">.  </w:t>
      </w:r>
      <w:proofErr w:type="gramStart"/>
      <w:r>
        <w:rPr>
          <w:i/>
        </w:rPr>
        <w:t>The Norton Anthology of English Literature</w:t>
      </w:r>
      <w:r>
        <w:t>.</w:t>
      </w:r>
      <w:proofErr w:type="gramEnd"/>
      <w:r>
        <w:t xml:space="preserve">  </w:t>
      </w:r>
      <w:r w:rsidR="00906F5C">
        <w:t>9</w:t>
      </w:r>
      <w:r w:rsidRPr="00D140E6">
        <w:rPr>
          <w:vertAlign w:val="superscript"/>
        </w:rPr>
        <w:t>th</w:t>
      </w:r>
      <w:r>
        <w:t xml:space="preserve"> </w:t>
      </w:r>
      <w:proofErr w:type="gramStart"/>
      <w:r>
        <w:t>ed</w:t>
      </w:r>
      <w:proofErr w:type="gramEnd"/>
      <w:r>
        <w:t xml:space="preserve">.  </w:t>
      </w:r>
      <w:proofErr w:type="gramStart"/>
      <w:r>
        <w:t>Vol. 1.</w:t>
      </w:r>
      <w:proofErr w:type="gramEnd"/>
      <w:r>
        <w:t xml:space="preserve">  New </w:t>
      </w:r>
      <w:r w:rsidR="00427FE6">
        <w:tab/>
      </w:r>
      <w:r>
        <w:t>Yo</w:t>
      </w:r>
      <w:r w:rsidR="00427FE6">
        <w:t>rk: Norton, 20</w:t>
      </w:r>
      <w:r w:rsidR="00906F5C">
        <w:t>12</w:t>
      </w:r>
      <w:r w:rsidR="00427FE6">
        <w:t>.</w:t>
      </w:r>
    </w:p>
    <w:p w:rsidR="00D459FF" w:rsidRDefault="00D459FF" w:rsidP="00D459FF">
      <w:pPr>
        <w:ind w:firstLine="0"/>
      </w:pPr>
    </w:p>
    <w:p w:rsidR="00427FE6" w:rsidRPr="00427FE6" w:rsidRDefault="00427FE6" w:rsidP="00D459FF">
      <w:pPr>
        <w:ind w:firstLine="0"/>
      </w:pPr>
      <w:r>
        <w:rPr>
          <w:i/>
        </w:rPr>
        <w:t xml:space="preserve">The MLA Handbook </w:t>
      </w:r>
      <w:r>
        <w:t xml:space="preserve">and </w:t>
      </w:r>
      <w:r>
        <w:rPr>
          <w:i/>
        </w:rPr>
        <w:t xml:space="preserve">A Handbook to Literature </w:t>
      </w:r>
      <w:r>
        <w:t>are recommended.</w:t>
      </w:r>
    </w:p>
    <w:p w:rsidR="00A93E54" w:rsidRDefault="00A93E54" w:rsidP="00D459FF">
      <w:pPr>
        <w:ind w:firstLine="0"/>
      </w:pPr>
    </w:p>
    <w:p w:rsidR="006E738C" w:rsidRDefault="00A93E54" w:rsidP="006E738C">
      <w:pPr>
        <w:ind w:firstLine="0"/>
        <w:rPr>
          <w:b/>
        </w:rPr>
      </w:pPr>
      <w:r>
        <w:rPr>
          <w:b/>
        </w:rPr>
        <w:t>Course Objectives</w:t>
      </w:r>
    </w:p>
    <w:p w:rsidR="006E738C" w:rsidRDefault="006E738C" w:rsidP="006E738C">
      <w:pPr>
        <w:ind w:firstLine="0"/>
        <w:rPr>
          <w:b/>
        </w:rPr>
      </w:pPr>
    </w:p>
    <w:p w:rsidR="006E738C" w:rsidRPr="006E738C" w:rsidRDefault="006E738C" w:rsidP="006E738C">
      <w:pPr>
        <w:pStyle w:val="ListParagraph"/>
        <w:numPr>
          <w:ilvl w:val="0"/>
          <w:numId w:val="10"/>
        </w:numPr>
        <w:rPr>
          <w:b/>
        </w:rPr>
      </w:pPr>
      <w:r>
        <w:t>To gain a perspective of literary history and chronology, demonstrating knowledge of key authors, works, periods, terms, and themes of English literature from Anglo-Saxon times through 1785.</w:t>
      </w:r>
    </w:p>
    <w:p w:rsidR="006E738C" w:rsidRPr="006E738C" w:rsidRDefault="006E738C" w:rsidP="006E738C">
      <w:pPr>
        <w:pStyle w:val="ListParagraph"/>
        <w:numPr>
          <w:ilvl w:val="0"/>
          <w:numId w:val="10"/>
        </w:numPr>
        <w:rPr>
          <w:b/>
        </w:rPr>
      </w:pPr>
      <w:r>
        <w:t>To develop skills in critiquing literary texts, giving informed interpretations of a variety of genres, persuasively defending such analyses orally and in writing, and performing in-depth library and Internet research to support a lengthy literary analysis written in MLA style.</w:t>
      </w:r>
    </w:p>
    <w:p w:rsidR="006E738C" w:rsidRPr="006E738C" w:rsidRDefault="006E738C" w:rsidP="006E738C">
      <w:pPr>
        <w:pStyle w:val="ListParagraph"/>
        <w:numPr>
          <w:ilvl w:val="0"/>
          <w:numId w:val="10"/>
        </w:numPr>
        <w:rPr>
          <w:b/>
        </w:rPr>
      </w:pPr>
      <w:r>
        <w:t>To recognize patterns in literary texts, making connections among an author’s works, various writers, and literary periods; among English, American, and world writers and historical events; among information within other academic disciplines; and among students’ personal views and creative work.</w:t>
      </w:r>
    </w:p>
    <w:p w:rsidR="006E738C" w:rsidRPr="006E738C" w:rsidRDefault="006E738C" w:rsidP="006E738C">
      <w:pPr>
        <w:pStyle w:val="ListParagraph"/>
        <w:numPr>
          <w:ilvl w:val="0"/>
          <w:numId w:val="10"/>
        </w:numPr>
        <w:rPr>
          <w:b/>
        </w:rPr>
      </w:pPr>
      <w:r>
        <w:t>To find value in varied critical approaches; in the wide-ranging views of other eras, cultures, and opinions; in connections between literature and one’s own life; and in worthy ideas and skills.</w:t>
      </w:r>
    </w:p>
    <w:p w:rsidR="006E738C" w:rsidRPr="006E738C" w:rsidRDefault="006E738C" w:rsidP="006E738C">
      <w:pPr>
        <w:pStyle w:val="ListParagraph"/>
        <w:numPr>
          <w:ilvl w:val="0"/>
          <w:numId w:val="10"/>
        </w:numPr>
        <w:rPr>
          <w:b/>
        </w:rPr>
      </w:pPr>
      <w:r>
        <w:t>To recognize literary quality and the power of literary expression as an agent of change while enjoying the pleasure of reading and the beauty of language.</w:t>
      </w:r>
    </w:p>
    <w:p w:rsidR="006E738C" w:rsidRPr="006E738C" w:rsidRDefault="006E738C" w:rsidP="006E738C">
      <w:pPr>
        <w:pStyle w:val="ListParagraph"/>
        <w:numPr>
          <w:ilvl w:val="0"/>
          <w:numId w:val="10"/>
        </w:numPr>
        <w:rPr>
          <w:b/>
        </w:rPr>
      </w:pPr>
      <w:r>
        <w:t>To learn methods of problem-solving for literary texts and to view the reading of literature as a pleasure well worth cultivating and continuing.</w:t>
      </w:r>
    </w:p>
    <w:p w:rsidR="00A96C1C" w:rsidRDefault="00A96C1C" w:rsidP="00A96C1C"/>
    <w:p w:rsidR="00A96C1C" w:rsidRDefault="00A96C1C" w:rsidP="00A96C1C">
      <w:pPr>
        <w:ind w:firstLine="0"/>
      </w:pPr>
      <w:r>
        <w:rPr>
          <w:b/>
        </w:rPr>
        <w:t>Course Outline</w:t>
      </w:r>
    </w:p>
    <w:p w:rsidR="00A96C1C" w:rsidRDefault="00A96C1C" w:rsidP="00A96C1C"/>
    <w:p w:rsidR="005316F1" w:rsidRDefault="005316F1" w:rsidP="00A96C1C">
      <w:pPr>
        <w:ind w:firstLine="0"/>
      </w:pPr>
      <w:r>
        <w:t>Aug.</w:t>
      </w:r>
      <w:r>
        <w:tab/>
      </w:r>
      <w:r w:rsidR="003A0D75">
        <w:t>31</w:t>
      </w:r>
      <w:r w:rsidR="003736B2">
        <w:t>:</w:t>
      </w:r>
      <w:r>
        <w:tab/>
        <w:t>Introduction</w:t>
      </w:r>
      <w:r w:rsidR="003736B2">
        <w:t xml:space="preserve">; Bede </w:t>
      </w:r>
      <w:r w:rsidR="0008395E">
        <w:t>30</w:t>
      </w:r>
    </w:p>
    <w:p w:rsidR="003736B2" w:rsidRDefault="003A0D75" w:rsidP="00A96C1C">
      <w:pPr>
        <w:ind w:firstLine="0"/>
      </w:pPr>
      <w:proofErr w:type="gramStart"/>
      <w:r>
        <w:t>Sept.</w:t>
      </w:r>
      <w:proofErr w:type="gramEnd"/>
      <w:r w:rsidR="003736B2">
        <w:t xml:space="preserve"> </w:t>
      </w:r>
      <w:r w:rsidR="003736B2">
        <w:tab/>
      </w:r>
      <w:r>
        <w:t xml:space="preserve">  2</w:t>
      </w:r>
      <w:r w:rsidR="003736B2">
        <w:t>:</w:t>
      </w:r>
      <w:r w:rsidR="003736B2">
        <w:tab/>
        <w:t xml:space="preserve">“Dream” </w:t>
      </w:r>
      <w:r w:rsidR="0008395E">
        <w:t>33; “Wanderer” 118</w:t>
      </w:r>
      <w:r w:rsidR="003736B2">
        <w:t>; “Wife’s” 1</w:t>
      </w:r>
      <w:r w:rsidR="0008395E">
        <w:t>21</w:t>
      </w:r>
      <w:r w:rsidR="003736B2">
        <w:t xml:space="preserve">; </w:t>
      </w:r>
      <w:r w:rsidR="003736B2">
        <w:rPr>
          <w:u w:val="single"/>
        </w:rPr>
        <w:t>Beowulf</w:t>
      </w:r>
      <w:r w:rsidR="003736B2">
        <w:t xml:space="preserve"> </w:t>
      </w:r>
      <w:r w:rsidR="0008395E">
        <w:t>41</w:t>
      </w:r>
      <w:r w:rsidR="003736B2">
        <w:t>-</w:t>
      </w:r>
      <w:r w:rsidR="00906F5C">
        <w:t>58</w:t>
      </w:r>
    </w:p>
    <w:p w:rsidR="003A0D75" w:rsidRPr="003736B2" w:rsidRDefault="003A0D75" w:rsidP="00A96C1C">
      <w:pPr>
        <w:ind w:firstLine="0"/>
      </w:pPr>
      <w:r>
        <w:tab/>
        <w:t xml:space="preserve">  5:</w:t>
      </w:r>
      <w:r>
        <w:tab/>
        <w:t>Labor Day</w:t>
      </w:r>
    </w:p>
    <w:p w:rsidR="00625983" w:rsidRPr="00382690" w:rsidRDefault="00382690" w:rsidP="00A96C1C">
      <w:pPr>
        <w:ind w:firstLine="0"/>
      </w:pPr>
      <w:r>
        <w:tab/>
      </w:r>
      <w:r w:rsidR="003A0D75">
        <w:t xml:space="preserve">  7</w:t>
      </w:r>
      <w:r w:rsidR="00625983">
        <w:t>:</w:t>
      </w:r>
      <w:r w:rsidR="00625983">
        <w:tab/>
      </w:r>
      <w:r w:rsidRPr="00382690">
        <w:rPr>
          <w:u w:val="single"/>
        </w:rPr>
        <w:t>Beowulf</w:t>
      </w:r>
      <w:r>
        <w:t xml:space="preserve"> 58-88</w:t>
      </w:r>
    </w:p>
    <w:p w:rsidR="00382690" w:rsidRDefault="00625983" w:rsidP="00A96C1C">
      <w:pPr>
        <w:ind w:firstLine="0"/>
      </w:pPr>
      <w:r>
        <w:tab/>
        <w:t xml:space="preserve">  </w:t>
      </w:r>
      <w:r w:rsidR="003A0D75">
        <w:t>9</w:t>
      </w:r>
      <w:r w:rsidR="006E6775">
        <w:t>:</w:t>
      </w:r>
      <w:r w:rsidR="006E6775">
        <w:tab/>
      </w:r>
      <w:r w:rsidR="006E6775">
        <w:rPr>
          <w:u w:val="single"/>
        </w:rPr>
        <w:t>Beowulf</w:t>
      </w:r>
      <w:r w:rsidR="006E6775">
        <w:t xml:space="preserve"> </w:t>
      </w:r>
      <w:r w:rsidR="00906F5C">
        <w:t>88-108</w:t>
      </w:r>
      <w:r w:rsidR="006E6775">
        <w:t xml:space="preserve">; </w:t>
      </w:r>
      <w:r w:rsidR="00906F5C">
        <w:t>“</w:t>
      </w:r>
      <w:proofErr w:type="spellStart"/>
      <w:r w:rsidR="00906F5C">
        <w:t>Tristran</w:t>
      </w:r>
      <w:proofErr w:type="spellEnd"/>
      <w:r w:rsidR="00906F5C">
        <w:t>” 133; “</w:t>
      </w:r>
      <w:proofErr w:type="spellStart"/>
      <w:r w:rsidR="00906F5C">
        <w:t>Chevrefoil</w:t>
      </w:r>
      <w:proofErr w:type="spellEnd"/>
      <w:r w:rsidR="00906F5C">
        <w:t xml:space="preserve">” 167; </w:t>
      </w:r>
      <w:r w:rsidR="003736B2">
        <w:t>“General Prologue” 2</w:t>
      </w:r>
      <w:r w:rsidR="0008395E">
        <w:t>43</w:t>
      </w:r>
    </w:p>
    <w:p w:rsidR="006E6775" w:rsidRDefault="003A0D75" w:rsidP="00A96C1C">
      <w:pPr>
        <w:ind w:firstLine="0"/>
      </w:pPr>
      <w:r>
        <w:tab/>
        <w:t>12</w:t>
      </w:r>
      <w:r w:rsidR="003736B2">
        <w:t>:</w:t>
      </w:r>
      <w:r w:rsidR="003736B2">
        <w:tab/>
      </w:r>
      <w:r w:rsidR="006E6775">
        <w:t>“General Prologue”</w:t>
      </w:r>
      <w:r w:rsidR="00906F5C">
        <w:t xml:space="preserve"> 243</w:t>
      </w:r>
    </w:p>
    <w:p w:rsidR="003736B2" w:rsidRDefault="003A0D75" w:rsidP="00A96C1C">
      <w:pPr>
        <w:ind w:firstLine="0"/>
      </w:pPr>
      <w:r>
        <w:tab/>
        <w:t>14</w:t>
      </w:r>
      <w:r w:rsidR="006E6775">
        <w:t>:</w:t>
      </w:r>
      <w:r w:rsidR="006E6775">
        <w:tab/>
      </w:r>
      <w:r w:rsidR="003736B2">
        <w:t>Miller’s Prologue and Tale 2</w:t>
      </w:r>
      <w:r w:rsidR="0008395E">
        <w:t>64</w:t>
      </w:r>
      <w:r w:rsidR="00B41412">
        <w:t xml:space="preserve">; Nun’s Priest’s Tale </w:t>
      </w:r>
      <w:r w:rsidR="0008395E">
        <w:t>326</w:t>
      </w:r>
    </w:p>
    <w:p w:rsidR="006E6775" w:rsidRDefault="007A3E6C" w:rsidP="00A96C1C">
      <w:pPr>
        <w:ind w:firstLine="0"/>
      </w:pPr>
      <w:r>
        <w:tab/>
      </w:r>
      <w:r w:rsidR="006E6775">
        <w:t>1</w:t>
      </w:r>
      <w:r w:rsidR="003A0D75">
        <w:t>6</w:t>
      </w:r>
      <w:r w:rsidR="00B41412">
        <w:t>:</w:t>
      </w:r>
      <w:r w:rsidR="00B41412">
        <w:tab/>
        <w:t>Wife of Bath’s Prologue and Tale 2</w:t>
      </w:r>
      <w:r w:rsidR="0008395E">
        <w:t>82</w:t>
      </w:r>
    </w:p>
    <w:p w:rsidR="006E6775" w:rsidRDefault="003A0D75" w:rsidP="00A96C1C">
      <w:pPr>
        <w:ind w:firstLine="0"/>
      </w:pPr>
      <w:r>
        <w:lastRenderedPageBreak/>
        <w:tab/>
        <w:t>19</w:t>
      </w:r>
      <w:r w:rsidR="006E6775">
        <w:t>:</w:t>
      </w:r>
      <w:r w:rsidR="006E6775">
        <w:tab/>
      </w:r>
      <w:r w:rsidR="00B41412">
        <w:t>“Complaint” 3</w:t>
      </w:r>
      <w:r w:rsidR="0008395E">
        <w:t>45</w:t>
      </w:r>
      <w:r w:rsidR="00B41412">
        <w:t>; “Retraction” 3</w:t>
      </w:r>
      <w:r w:rsidR="0008395E">
        <w:t>42</w:t>
      </w:r>
      <w:r w:rsidR="00B41412">
        <w:t>; “Randall” 2899; “Barbara” 2899; “</w:t>
      </w:r>
      <w:proofErr w:type="spellStart"/>
      <w:r w:rsidR="00B41412">
        <w:t>Spens</w:t>
      </w:r>
      <w:proofErr w:type="spellEnd"/>
      <w:r w:rsidR="00B41412">
        <w:t xml:space="preserve">” </w:t>
      </w:r>
      <w:r w:rsidR="006E6775">
        <w:tab/>
      </w:r>
      <w:r w:rsidR="006E6775">
        <w:tab/>
      </w:r>
      <w:r w:rsidR="006E6775">
        <w:tab/>
      </w:r>
      <w:r w:rsidR="00B41412">
        <w:t>2902</w:t>
      </w:r>
      <w:r w:rsidR="006E6775">
        <w:t xml:space="preserve">; </w:t>
      </w:r>
      <w:r w:rsidR="00B41412">
        <w:rPr>
          <w:u w:val="single"/>
        </w:rPr>
        <w:t>Piers</w:t>
      </w:r>
      <w:r w:rsidR="00B41412">
        <w:t xml:space="preserve"> 3</w:t>
      </w:r>
      <w:r w:rsidR="0008395E">
        <w:t>7</w:t>
      </w:r>
      <w:r w:rsidR="00B41412">
        <w:t>3-</w:t>
      </w:r>
      <w:r w:rsidR="0008395E">
        <w:t>7</w:t>
      </w:r>
      <w:r w:rsidR="00B41412">
        <w:t>6, 3</w:t>
      </w:r>
      <w:r w:rsidR="0008395E">
        <w:t>9</w:t>
      </w:r>
      <w:r w:rsidR="00B41412">
        <w:t>7-</w:t>
      </w:r>
      <w:r w:rsidR="0008395E">
        <w:t>408</w:t>
      </w:r>
    </w:p>
    <w:p w:rsidR="00B41412" w:rsidRDefault="003A0D75" w:rsidP="00A96C1C">
      <w:pPr>
        <w:ind w:firstLine="0"/>
      </w:pPr>
      <w:r>
        <w:tab/>
        <w:t>21</w:t>
      </w:r>
      <w:r w:rsidR="006E6775">
        <w:t>:</w:t>
      </w:r>
      <w:r w:rsidR="006E6775">
        <w:tab/>
      </w:r>
      <w:r w:rsidR="00B41412">
        <w:rPr>
          <w:u w:val="single"/>
        </w:rPr>
        <w:t>Sir Gawain</w:t>
      </w:r>
      <w:r w:rsidR="00B41412">
        <w:t xml:space="preserve"> 1</w:t>
      </w:r>
      <w:r w:rsidR="0008395E">
        <w:t>86</w:t>
      </w:r>
      <w:r w:rsidR="00B41412">
        <w:t>-</w:t>
      </w:r>
      <w:r w:rsidR="0008395E">
        <w:t>209</w:t>
      </w:r>
      <w:r w:rsidR="00757A49">
        <w:t>; Poem Analysis due</w:t>
      </w:r>
    </w:p>
    <w:p w:rsidR="00B41412" w:rsidRDefault="003A0D75" w:rsidP="00A96C1C">
      <w:pPr>
        <w:ind w:firstLine="0"/>
      </w:pPr>
      <w:r>
        <w:tab/>
        <w:t>23</w:t>
      </w:r>
      <w:r w:rsidR="00B41412">
        <w:t>:</w:t>
      </w:r>
      <w:r w:rsidR="00B41412">
        <w:tab/>
      </w:r>
      <w:r w:rsidR="00B41412">
        <w:rPr>
          <w:u w:val="single"/>
        </w:rPr>
        <w:t>Sir Gawain</w:t>
      </w:r>
      <w:r w:rsidR="00B41412">
        <w:t xml:space="preserve"> </w:t>
      </w:r>
      <w:r w:rsidR="0008395E">
        <w:t>209</w:t>
      </w:r>
      <w:r w:rsidR="00B41412">
        <w:t>-</w:t>
      </w:r>
      <w:r w:rsidR="0008395E">
        <w:t>38</w:t>
      </w:r>
      <w:r w:rsidR="00B41412">
        <w:t xml:space="preserve">; </w:t>
      </w:r>
      <w:proofErr w:type="gramStart"/>
      <w:r w:rsidR="00B41412">
        <w:rPr>
          <w:u w:val="single"/>
        </w:rPr>
        <w:t>Everyman</w:t>
      </w:r>
      <w:r w:rsidR="0008395E">
        <w:rPr>
          <w:u w:val="single"/>
        </w:rPr>
        <w:t xml:space="preserve"> </w:t>
      </w:r>
      <w:r w:rsidR="00551169">
        <w:t xml:space="preserve"> 508</w:t>
      </w:r>
      <w:proofErr w:type="gramEnd"/>
    </w:p>
    <w:p w:rsidR="00335935" w:rsidRDefault="007A3E6C" w:rsidP="00A96C1C">
      <w:pPr>
        <w:ind w:firstLine="0"/>
      </w:pPr>
      <w:r>
        <w:tab/>
      </w:r>
      <w:r w:rsidR="003A0D75">
        <w:t>26</w:t>
      </w:r>
      <w:r w:rsidR="00335935">
        <w:t>:</w:t>
      </w:r>
      <w:r w:rsidR="00335935">
        <w:tab/>
        <w:t>Test 1</w:t>
      </w:r>
    </w:p>
    <w:p w:rsidR="00B41412" w:rsidRDefault="00335935" w:rsidP="00A96C1C">
      <w:pPr>
        <w:ind w:firstLine="0"/>
      </w:pPr>
      <w:r>
        <w:tab/>
        <w:t>2</w:t>
      </w:r>
      <w:r w:rsidR="003A0D75">
        <w:t>8</w:t>
      </w:r>
      <w:r w:rsidR="00B41412">
        <w:t>:</w:t>
      </w:r>
      <w:r w:rsidR="00B41412">
        <w:tab/>
        <w:t xml:space="preserve">“Whoso” </w:t>
      </w:r>
      <w:r w:rsidR="00676FBC">
        <w:t>649</w:t>
      </w:r>
      <w:r w:rsidR="00B41412">
        <w:t xml:space="preserve">; “They Flee” </w:t>
      </w:r>
      <w:r w:rsidR="00676FBC">
        <w:t>653</w:t>
      </w:r>
      <w:r w:rsidR="00B41412">
        <w:t xml:space="preserve">; </w:t>
      </w:r>
      <w:r w:rsidR="00B41412">
        <w:rPr>
          <w:u w:val="single"/>
        </w:rPr>
        <w:t>Utopia</w:t>
      </w:r>
      <w:r w:rsidR="00B41412">
        <w:t xml:space="preserve"> 5</w:t>
      </w:r>
      <w:r w:rsidR="00676FBC">
        <w:t>75</w:t>
      </w:r>
      <w:r w:rsidR="00B41412">
        <w:t>-</w:t>
      </w:r>
      <w:r w:rsidR="00676FBC">
        <w:t>79</w:t>
      </w:r>
      <w:r w:rsidR="00B41412">
        <w:t>, 5</w:t>
      </w:r>
      <w:r w:rsidR="00676FBC">
        <w:t>97</w:t>
      </w:r>
      <w:r w:rsidR="00B41412">
        <w:t>-</w:t>
      </w:r>
      <w:r w:rsidR="00676FBC">
        <w:t>600</w:t>
      </w:r>
      <w:r w:rsidR="00B41412">
        <w:t xml:space="preserve">, </w:t>
      </w:r>
      <w:r w:rsidR="00676FBC">
        <w:t>603</w:t>
      </w:r>
      <w:r w:rsidR="00B41412">
        <w:t>-</w:t>
      </w:r>
      <w:r w:rsidR="00676FBC">
        <w:t>06</w:t>
      </w:r>
      <w:r w:rsidR="00B41412">
        <w:t xml:space="preserve">, </w:t>
      </w:r>
      <w:r w:rsidR="00676FBC">
        <w:t>611-20</w:t>
      </w:r>
      <w:r w:rsidR="00B41412">
        <w:t xml:space="preserve">, </w:t>
      </w:r>
      <w:r w:rsidR="00676FBC">
        <w:t>623-27</w:t>
      </w:r>
      <w:r w:rsidR="00B41412">
        <w:t xml:space="preserve">, </w:t>
      </w:r>
    </w:p>
    <w:p w:rsidR="006E6775" w:rsidRDefault="00B41412" w:rsidP="00A96C1C">
      <w:pPr>
        <w:ind w:firstLine="0"/>
      </w:pPr>
      <w:r>
        <w:tab/>
      </w:r>
      <w:r>
        <w:tab/>
      </w:r>
      <w:r w:rsidR="00676FBC">
        <w:t>637-45</w:t>
      </w:r>
      <w:r>
        <w:t>; “</w:t>
      </w:r>
      <w:proofErr w:type="spellStart"/>
      <w:r>
        <w:t>Poins</w:t>
      </w:r>
      <w:proofErr w:type="spellEnd"/>
      <w:r>
        <w:t>”</w:t>
      </w:r>
      <w:r w:rsidR="006D132A">
        <w:t xml:space="preserve"> </w:t>
      </w:r>
      <w:r>
        <w:t>6</w:t>
      </w:r>
      <w:r w:rsidR="00676FBC">
        <w:t>59</w:t>
      </w:r>
      <w:r>
        <w:t>; “Cruel” 6</w:t>
      </w:r>
      <w:r w:rsidR="00676FBC">
        <w:t>65</w:t>
      </w:r>
    </w:p>
    <w:p w:rsidR="00B41412" w:rsidRDefault="003A0D75" w:rsidP="00A96C1C">
      <w:pPr>
        <w:ind w:firstLine="0"/>
      </w:pPr>
      <w:r>
        <w:tab/>
        <w:t>30</w:t>
      </w:r>
      <w:r w:rsidR="006E6775">
        <w:t>:</w:t>
      </w:r>
      <w:r w:rsidR="006E6775">
        <w:tab/>
      </w:r>
      <w:proofErr w:type="spellStart"/>
      <w:r w:rsidR="00B41412">
        <w:rPr>
          <w:u w:val="single"/>
        </w:rPr>
        <w:t>Astrophil</w:t>
      </w:r>
      <w:proofErr w:type="spellEnd"/>
      <w:r w:rsidR="00B41412">
        <w:t xml:space="preserve"> </w:t>
      </w:r>
      <w:r w:rsidR="00676FBC">
        <w:t>1084</w:t>
      </w:r>
      <w:r w:rsidR="00B41412">
        <w:t xml:space="preserve"> (sonnets 1, 7, 45, 47, 52, 91); </w:t>
      </w:r>
      <w:r w:rsidR="006E6775">
        <w:rPr>
          <w:u w:val="single"/>
        </w:rPr>
        <w:t>Defense</w:t>
      </w:r>
      <w:r w:rsidR="00757A49">
        <w:t xml:space="preserve"> 1046-57, 1066-71, 1082-</w:t>
      </w:r>
      <w:r w:rsidR="00757A49">
        <w:tab/>
      </w:r>
      <w:r w:rsidR="00757A49">
        <w:tab/>
      </w:r>
      <w:r w:rsidR="00757A49">
        <w:tab/>
        <w:t>83</w:t>
      </w:r>
    </w:p>
    <w:p w:rsidR="006D132A" w:rsidRDefault="003A0D75" w:rsidP="00A96C1C">
      <w:pPr>
        <w:ind w:firstLine="0"/>
      </w:pPr>
      <w:proofErr w:type="gramStart"/>
      <w:r>
        <w:t>Oct.</w:t>
      </w:r>
      <w:proofErr w:type="gramEnd"/>
      <w:r>
        <w:tab/>
        <w:t xml:space="preserve">  3</w:t>
      </w:r>
      <w:r w:rsidR="006D132A">
        <w:t>:</w:t>
      </w:r>
      <w:r w:rsidR="006D132A">
        <w:tab/>
      </w:r>
      <w:r w:rsidR="006D132A">
        <w:rPr>
          <w:u w:val="single"/>
        </w:rPr>
        <w:t>Schoolmaster</w:t>
      </w:r>
      <w:r w:rsidR="006D132A">
        <w:t xml:space="preserve"> </w:t>
      </w:r>
      <w:r w:rsidR="00E87C6C">
        <w:t>700</w:t>
      </w:r>
      <w:r w:rsidR="006D132A">
        <w:t>-</w:t>
      </w:r>
      <w:r w:rsidR="00E87C6C">
        <w:t>01</w:t>
      </w:r>
      <w:r w:rsidR="006D132A">
        <w:t xml:space="preserve">, </w:t>
      </w:r>
      <w:r w:rsidR="00E87C6C">
        <w:t>728</w:t>
      </w:r>
      <w:r w:rsidR="006D132A">
        <w:t>-</w:t>
      </w:r>
      <w:r w:rsidR="00E87C6C">
        <w:t>29</w:t>
      </w:r>
      <w:r w:rsidR="006D132A">
        <w:t xml:space="preserve">; “Letter” </w:t>
      </w:r>
      <w:r w:rsidR="00E87C6C">
        <w:t>733</w:t>
      </w:r>
      <w:r w:rsidR="006D132A">
        <w:t>;</w:t>
      </w:r>
      <w:r w:rsidR="00757A49">
        <w:t xml:space="preserve"> </w:t>
      </w:r>
      <w:r w:rsidR="006D132A">
        <w:tab/>
        <w:t xml:space="preserve">“Words” </w:t>
      </w:r>
      <w:r w:rsidR="00E87C6C">
        <w:t>735</w:t>
      </w:r>
      <w:r w:rsidR="006D132A">
        <w:t xml:space="preserve">; “Doubt” </w:t>
      </w:r>
      <w:r w:rsidR="00E87C6C">
        <w:t>758</w:t>
      </w:r>
      <w:r w:rsidR="006D132A">
        <w:t xml:space="preserve">; “Speech” </w:t>
      </w:r>
      <w:r w:rsidR="00757A49">
        <w:tab/>
      </w:r>
      <w:r w:rsidR="00757A49">
        <w:tab/>
      </w:r>
      <w:r w:rsidR="00757A49">
        <w:tab/>
      </w:r>
      <w:r w:rsidR="00E87C6C">
        <w:t>762</w:t>
      </w:r>
      <w:r w:rsidR="006D132A">
        <w:t>; I Corinthians 13 translations 6</w:t>
      </w:r>
      <w:r w:rsidR="00676FBC">
        <w:t>74</w:t>
      </w:r>
      <w:r w:rsidR="006D132A">
        <w:t>-</w:t>
      </w:r>
      <w:r w:rsidR="00676FBC">
        <w:t>76</w:t>
      </w:r>
      <w:r w:rsidR="006D132A">
        <w:t xml:space="preserve"> </w:t>
      </w:r>
    </w:p>
    <w:p w:rsidR="006D132A" w:rsidRDefault="00757A49" w:rsidP="00A96C1C">
      <w:pPr>
        <w:ind w:firstLine="0"/>
      </w:pPr>
      <w:r>
        <w:t xml:space="preserve"> </w:t>
      </w:r>
      <w:r>
        <w:tab/>
      </w:r>
      <w:r w:rsidR="003A0D75">
        <w:t xml:space="preserve">  5</w:t>
      </w:r>
      <w:r>
        <w:t>:</w:t>
      </w:r>
      <w:r w:rsidR="006D132A">
        <w:tab/>
      </w:r>
      <w:r w:rsidR="006D132A">
        <w:rPr>
          <w:u w:val="single"/>
        </w:rPr>
        <w:t>Amoretti</w:t>
      </w:r>
      <w:r w:rsidR="006D132A">
        <w:t xml:space="preserve"> </w:t>
      </w:r>
      <w:r w:rsidR="00E87C6C">
        <w:t>985</w:t>
      </w:r>
      <w:r w:rsidR="006D132A">
        <w:t xml:space="preserve">; </w:t>
      </w:r>
      <w:r w:rsidR="006D132A">
        <w:rPr>
          <w:u w:val="single"/>
        </w:rPr>
        <w:t xml:space="preserve">Faerie </w:t>
      </w:r>
      <w:proofErr w:type="spellStart"/>
      <w:r w:rsidR="006D132A">
        <w:rPr>
          <w:u w:val="single"/>
        </w:rPr>
        <w:t>Queene</w:t>
      </w:r>
      <w:proofErr w:type="spellEnd"/>
      <w:r w:rsidR="006D132A">
        <w:t xml:space="preserve"> 7</w:t>
      </w:r>
      <w:r w:rsidR="00E87C6C">
        <w:t>77</w:t>
      </w:r>
      <w:r w:rsidR="006D132A">
        <w:t>-</w:t>
      </w:r>
      <w:r w:rsidR="00E87C6C">
        <w:t>95</w:t>
      </w:r>
    </w:p>
    <w:p w:rsidR="00757A49" w:rsidRDefault="007A3E6C" w:rsidP="00A96C1C">
      <w:pPr>
        <w:ind w:firstLine="0"/>
      </w:pPr>
      <w:r>
        <w:tab/>
        <w:t xml:space="preserve">  </w:t>
      </w:r>
      <w:r w:rsidR="003A0D75">
        <w:t>7</w:t>
      </w:r>
      <w:r w:rsidR="006D132A">
        <w:t>:</w:t>
      </w:r>
      <w:r w:rsidR="006D132A">
        <w:tab/>
      </w:r>
      <w:r w:rsidR="006D132A">
        <w:rPr>
          <w:u w:val="single"/>
        </w:rPr>
        <w:t>FQ</w:t>
      </w:r>
      <w:r w:rsidR="006D132A">
        <w:t xml:space="preserve"> 7</w:t>
      </w:r>
      <w:r w:rsidR="00E87C6C">
        <w:t>95</w:t>
      </w:r>
      <w:r w:rsidR="006D132A">
        <w:t>-</w:t>
      </w:r>
      <w:r w:rsidR="00E87C6C">
        <w:t>806</w:t>
      </w:r>
      <w:r w:rsidR="006D132A">
        <w:t xml:space="preserve">, </w:t>
      </w:r>
      <w:r w:rsidR="00E87C6C">
        <w:t>817</w:t>
      </w:r>
      <w:r w:rsidR="006D132A">
        <w:t>-</w:t>
      </w:r>
      <w:r w:rsidR="00E87C6C">
        <w:t>26</w:t>
      </w:r>
      <w:r w:rsidR="00757A49">
        <w:t xml:space="preserve"> (s. 37)</w:t>
      </w:r>
    </w:p>
    <w:p w:rsidR="006D132A" w:rsidRDefault="003A0D75" w:rsidP="00A96C1C">
      <w:pPr>
        <w:ind w:firstLine="0"/>
      </w:pPr>
      <w:r>
        <w:tab/>
        <w:t>10</w:t>
      </w:r>
      <w:r w:rsidR="00757A49">
        <w:t>:</w:t>
      </w:r>
      <w:r w:rsidR="00757A49">
        <w:tab/>
      </w:r>
      <w:r w:rsidR="00757A49" w:rsidRPr="00757A49">
        <w:rPr>
          <w:u w:val="single"/>
        </w:rPr>
        <w:t>FQ</w:t>
      </w:r>
      <w:r w:rsidR="00757A49">
        <w:t xml:space="preserve"> </w:t>
      </w:r>
      <w:r w:rsidR="00E87C6C" w:rsidRPr="00757A49">
        <w:t>855</w:t>
      </w:r>
      <w:r w:rsidR="006D132A">
        <w:t>-</w:t>
      </w:r>
      <w:r w:rsidR="00E87C6C">
        <w:t>93</w:t>
      </w:r>
      <w:r w:rsidR="00757A49">
        <w:t xml:space="preserve">; “Eve’s” 1433; “Passionate” 1126; “Nymph’s” 1024; Character </w:t>
      </w:r>
      <w:r w:rsidR="00757A49">
        <w:tab/>
      </w:r>
      <w:r w:rsidR="00757A49">
        <w:tab/>
      </w:r>
      <w:r w:rsidR="00757A49">
        <w:tab/>
      </w:r>
      <w:r w:rsidR="00757A49">
        <w:tab/>
        <w:t>Analysis due</w:t>
      </w:r>
    </w:p>
    <w:p w:rsidR="006D132A" w:rsidRDefault="006D132A" w:rsidP="00A96C1C">
      <w:pPr>
        <w:ind w:firstLine="0"/>
      </w:pPr>
      <w:r>
        <w:tab/>
      </w:r>
      <w:r w:rsidR="003A0D75">
        <w:t>12</w:t>
      </w:r>
      <w:r>
        <w:t>:</w:t>
      </w:r>
      <w:r>
        <w:tab/>
      </w:r>
      <w:r>
        <w:rPr>
          <w:u w:val="single"/>
        </w:rPr>
        <w:t>Hero</w:t>
      </w:r>
      <w:r>
        <w:t xml:space="preserve"> 1</w:t>
      </w:r>
      <w:r w:rsidR="00E87C6C">
        <w:t>1</w:t>
      </w:r>
      <w:r>
        <w:t>0</w:t>
      </w:r>
      <w:r w:rsidR="00E87C6C">
        <w:t>7</w:t>
      </w:r>
      <w:r w:rsidR="00757A49">
        <w:t xml:space="preserve">; </w:t>
      </w:r>
      <w:r>
        <w:t>“Burning” 6</w:t>
      </w:r>
      <w:r w:rsidR="00E87C6C">
        <w:t>99</w:t>
      </w:r>
      <w:r>
        <w:t>; Sonnets 18, 29, 73, 94, 116 (p. 1</w:t>
      </w:r>
      <w:r w:rsidR="00E87C6C">
        <w:t>172</w:t>
      </w:r>
      <w:r>
        <w:t>)</w:t>
      </w:r>
    </w:p>
    <w:p w:rsidR="006D132A" w:rsidRDefault="00757A49" w:rsidP="00A96C1C">
      <w:pPr>
        <w:ind w:firstLine="0"/>
      </w:pPr>
      <w:r>
        <w:tab/>
      </w:r>
      <w:r w:rsidR="003A0D75">
        <w:t>14</w:t>
      </w:r>
      <w:r w:rsidR="006D132A">
        <w:t>:</w:t>
      </w:r>
      <w:r w:rsidR="006D132A">
        <w:tab/>
        <w:t>Sonnets 130, 138, 144, 147 (p. 1</w:t>
      </w:r>
      <w:r w:rsidR="001C0C5E">
        <w:t>18</w:t>
      </w:r>
      <w:r w:rsidR="006D132A">
        <w:t xml:space="preserve">4); </w:t>
      </w:r>
      <w:proofErr w:type="spellStart"/>
      <w:r w:rsidR="006D132A">
        <w:rPr>
          <w:u w:val="single"/>
        </w:rPr>
        <w:t>Volpone</w:t>
      </w:r>
      <w:proofErr w:type="spellEnd"/>
      <w:r w:rsidR="006D132A">
        <w:t xml:space="preserve"> 1</w:t>
      </w:r>
      <w:r w:rsidR="001C0C5E">
        <w:t>44</w:t>
      </w:r>
      <w:r w:rsidR="006D132A">
        <w:t>5-</w:t>
      </w:r>
      <w:r w:rsidR="001C0C5E">
        <w:t>81</w:t>
      </w:r>
    </w:p>
    <w:p w:rsidR="00D11CB1" w:rsidRDefault="00757A49" w:rsidP="00A96C1C">
      <w:pPr>
        <w:ind w:firstLine="0"/>
      </w:pPr>
      <w:r>
        <w:tab/>
        <w:t>1</w:t>
      </w:r>
      <w:r w:rsidR="003A0D75">
        <w:t>7</w:t>
      </w:r>
      <w:r>
        <w:t>:</w:t>
      </w:r>
      <w:r>
        <w:tab/>
      </w:r>
      <w:proofErr w:type="spellStart"/>
      <w:r w:rsidR="006D132A">
        <w:rPr>
          <w:u w:val="single"/>
        </w:rPr>
        <w:t>Volpone</w:t>
      </w:r>
      <w:proofErr w:type="spellEnd"/>
      <w:r w:rsidR="006D132A">
        <w:t xml:space="preserve"> 1</w:t>
      </w:r>
      <w:r w:rsidR="001C0C5E">
        <w:t>482</w:t>
      </w:r>
      <w:r w:rsidR="006D132A">
        <w:t>-1</w:t>
      </w:r>
      <w:r w:rsidR="001C0C5E">
        <w:t>5</w:t>
      </w:r>
      <w:r w:rsidR="00906F5C">
        <w:t>13</w:t>
      </w:r>
      <w:r w:rsidR="006D132A">
        <w:t>; “Son” 1</w:t>
      </w:r>
      <w:r w:rsidR="001C0C5E">
        <w:t>542</w:t>
      </w:r>
    </w:p>
    <w:p w:rsidR="003A0D75" w:rsidRDefault="003A0D75" w:rsidP="00A96C1C">
      <w:pPr>
        <w:ind w:firstLine="0"/>
      </w:pPr>
      <w:r>
        <w:tab/>
        <w:t>19:</w:t>
      </w:r>
      <w:r>
        <w:tab/>
        <w:t>Test 2</w:t>
      </w:r>
    </w:p>
    <w:p w:rsidR="00D2216C" w:rsidRDefault="003A0D75" w:rsidP="00A96C1C">
      <w:pPr>
        <w:ind w:firstLine="0"/>
      </w:pPr>
      <w:r>
        <w:tab/>
        <w:t>21</w:t>
      </w:r>
      <w:r w:rsidR="00D2216C">
        <w:t>:</w:t>
      </w:r>
      <w:r w:rsidR="00D2216C">
        <w:tab/>
        <w:t>Fall Break</w:t>
      </w:r>
    </w:p>
    <w:p w:rsidR="00D11CB1" w:rsidRDefault="003A0D75" w:rsidP="00A96C1C">
      <w:pPr>
        <w:ind w:firstLine="0"/>
      </w:pPr>
      <w:r>
        <w:tab/>
        <w:t>24</w:t>
      </w:r>
      <w:r w:rsidR="00D11CB1">
        <w:t>:</w:t>
      </w:r>
      <w:r w:rsidR="00D11CB1">
        <w:tab/>
      </w:r>
      <w:proofErr w:type="spellStart"/>
      <w:r w:rsidR="00D11CB1">
        <w:rPr>
          <w:u w:val="single"/>
        </w:rPr>
        <w:t>Volpone</w:t>
      </w:r>
      <w:proofErr w:type="spellEnd"/>
      <w:r w:rsidR="00D11CB1">
        <w:t xml:space="preserve"> </w:t>
      </w:r>
      <w:r w:rsidR="00906F5C">
        <w:t>1513-39</w:t>
      </w:r>
      <w:r w:rsidR="00D11CB1">
        <w:t xml:space="preserve">; </w:t>
      </w:r>
      <w:r w:rsidR="006D132A">
        <w:t>“</w:t>
      </w:r>
      <w:proofErr w:type="spellStart"/>
      <w:r w:rsidR="006D132A">
        <w:t>Penshurst</w:t>
      </w:r>
      <w:proofErr w:type="spellEnd"/>
      <w:r w:rsidR="006D132A">
        <w:t>” 1</w:t>
      </w:r>
      <w:r w:rsidR="001C0C5E">
        <w:t>546</w:t>
      </w:r>
      <w:r w:rsidR="006D132A">
        <w:t>; “Memory” 1</w:t>
      </w:r>
      <w:r w:rsidR="001C0C5E">
        <w:t>556</w:t>
      </w:r>
    </w:p>
    <w:p w:rsidR="006D132A" w:rsidRDefault="003A0D75" w:rsidP="00A96C1C">
      <w:pPr>
        <w:ind w:firstLine="0"/>
      </w:pPr>
      <w:r>
        <w:tab/>
        <w:t>26</w:t>
      </w:r>
      <w:r w:rsidR="00D11CB1">
        <w:t>:</w:t>
      </w:r>
      <w:r w:rsidR="00D11CB1">
        <w:tab/>
      </w:r>
      <w:r w:rsidR="006D132A">
        <w:t>Bacon</w:t>
      </w:r>
      <w:r w:rsidR="00D11CB1">
        <w:t xml:space="preserve"> </w:t>
      </w:r>
      <w:r w:rsidR="00937690">
        <w:tab/>
      </w:r>
      <w:r w:rsidR="006D132A">
        <w:t>1</w:t>
      </w:r>
      <w:r w:rsidR="001C0C5E">
        <w:t>663</w:t>
      </w:r>
      <w:r w:rsidR="006D132A">
        <w:t>-</w:t>
      </w:r>
      <w:r w:rsidR="001C0C5E">
        <w:t>65</w:t>
      </w:r>
      <w:r w:rsidR="006D132A">
        <w:t>; “Of Studies [1625]” 1</w:t>
      </w:r>
      <w:r w:rsidR="001C0C5E">
        <w:t>674</w:t>
      </w:r>
      <w:r w:rsidR="000F622E">
        <w:t xml:space="preserve">; </w:t>
      </w:r>
      <w:r w:rsidR="00D11CB1">
        <w:rPr>
          <w:u w:val="single"/>
        </w:rPr>
        <w:t xml:space="preserve">King </w:t>
      </w:r>
      <w:r w:rsidR="00D11CB1" w:rsidRPr="00D11CB1">
        <w:rPr>
          <w:u w:val="single"/>
        </w:rPr>
        <w:t>Lear</w:t>
      </w:r>
      <w:r w:rsidR="00906F5C">
        <w:t xml:space="preserve"> 1254-</w:t>
      </w:r>
      <w:r w:rsidR="00F61D54">
        <w:t>85;</w:t>
      </w:r>
      <w:r w:rsidR="00D11CB1">
        <w:t xml:space="preserve"> </w:t>
      </w:r>
      <w:r w:rsidR="000F622E" w:rsidRPr="00D11CB1">
        <w:t>Research</w:t>
      </w:r>
      <w:r w:rsidR="000F622E">
        <w:t xml:space="preserve"> </w:t>
      </w:r>
      <w:r w:rsidR="00F61D54">
        <w:tab/>
      </w:r>
      <w:r w:rsidR="00F61D54">
        <w:tab/>
      </w:r>
      <w:r w:rsidR="00F61D54">
        <w:tab/>
      </w:r>
      <w:r w:rsidR="00F61D54">
        <w:tab/>
      </w:r>
      <w:r w:rsidR="000F622E">
        <w:t>Proposal due</w:t>
      </w:r>
    </w:p>
    <w:p w:rsidR="00937690" w:rsidRDefault="00937690" w:rsidP="00A96C1C">
      <w:pPr>
        <w:ind w:firstLine="0"/>
      </w:pPr>
      <w:r>
        <w:tab/>
      </w:r>
      <w:r w:rsidR="007A3E6C">
        <w:t>2</w:t>
      </w:r>
      <w:r w:rsidR="003A0D75">
        <w:t>8</w:t>
      </w:r>
      <w:r>
        <w:t>:</w:t>
      </w:r>
      <w:r>
        <w:tab/>
      </w:r>
      <w:r>
        <w:rPr>
          <w:u w:val="single"/>
        </w:rPr>
        <w:t>Lear</w:t>
      </w:r>
      <w:r>
        <w:t xml:space="preserve"> 1</w:t>
      </w:r>
      <w:r w:rsidR="001C0C5E">
        <w:t>2</w:t>
      </w:r>
      <w:r w:rsidR="00F61D54">
        <w:t>85</w:t>
      </w:r>
      <w:r>
        <w:t>-</w:t>
      </w:r>
      <w:r w:rsidR="00F61D54">
        <w:t>1315</w:t>
      </w:r>
      <w:r>
        <w:t>; “Song” 1</w:t>
      </w:r>
      <w:r w:rsidR="005526E1">
        <w:t>37</w:t>
      </w:r>
      <w:r>
        <w:t>4; “Sun” 1</w:t>
      </w:r>
      <w:r w:rsidR="005526E1">
        <w:t>376</w:t>
      </w:r>
      <w:r>
        <w:t>; “Canonization” 1</w:t>
      </w:r>
      <w:r w:rsidR="005526E1">
        <w:t>37</w:t>
      </w:r>
      <w:r>
        <w:t>7; “Flea” 1</w:t>
      </w:r>
      <w:r w:rsidR="005526E1">
        <w:t>37</w:t>
      </w:r>
      <w:r>
        <w:t>3</w:t>
      </w:r>
    </w:p>
    <w:p w:rsidR="00937690" w:rsidRDefault="003A0D75" w:rsidP="00A96C1C">
      <w:pPr>
        <w:ind w:firstLine="0"/>
      </w:pPr>
      <w:r>
        <w:tab/>
        <w:t>31</w:t>
      </w:r>
      <w:r w:rsidR="00937690">
        <w:t>:</w:t>
      </w:r>
      <w:r w:rsidR="00937690">
        <w:tab/>
      </w:r>
      <w:r w:rsidR="00937690">
        <w:rPr>
          <w:u w:val="single"/>
        </w:rPr>
        <w:t>Lear</w:t>
      </w:r>
      <w:r w:rsidR="00937690">
        <w:t xml:space="preserve"> 1</w:t>
      </w:r>
      <w:r w:rsidR="00F61D54">
        <w:t>316</w:t>
      </w:r>
      <w:r w:rsidR="00937690">
        <w:t>-3</w:t>
      </w:r>
      <w:r w:rsidR="005526E1">
        <w:t>9</w:t>
      </w:r>
      <w:r w:rsidR="00937690">
        <w:t>; “Valediction” 1</w:t>
      </w:r>
      <w:r w:rsidR="005526E1">
        <w:t>385</w:t>
      </w:r>
      <w:r w:rsidR="00937690">
        <w:t>; “Ecstasy” 1</w:t>
      </w:r>
      <w:r w:rsidR="005526E1">
        <w:t>38</w:t>
      </w:r>
      <w:r w:rsidR="00937690">
        <w:t>6; “To His” 1</w:t>
      </w:r>
      <w:r w:rsidR="005526E1">
        <w:t>39</w:t>
      </w:r>
      <w:r w:rsidR="00937690">
        <w:t>3</w:t>
      </w:r>
    </w:p>
    <w:p w:rsidR="0037594D" w:rsidRDefault="003A0D75" w:rsidP="00A96C1C">
      <w:pPr>
        <w:ind w:firstLine="0"/>
      </w:pPr>
      <w:proofErr w:type="gramStart"/>
      <w:r>
        <w:t>Nov.</w:t>
      </w:r>
      <w:proofErr w:type="gramEnd"/>
      <w:r w:rsidR="00137B45">
        <w:tab/>
      </w:r>
      <w:r>
        <w:t xml:space="preserve">  2</w:t>
      </w:r>
      <w:r w:rsidR="00137B45">
        <w:t>:</w:t>
      </w:r>
      <w:r w:rsidR="00137B45">
        <w:tab/>
      </w:r>
      <w:r w:rsidR="00937690">
        <w:t>Holy Sonnets 1, 10, 14 (p. 1</w:t>
      </w:r>
      <w:r w:rsidR="0067150A">
        <w:t>410</w:t>
      </w:r>
      <w:r w:rsidR="00937690">
        <w:t>); “Hymn” 1</w:t>
      </w:r>
      <w:r w:rsidR="0067150A">
        <w:t>417</w:t>
      </w:r>
      <w:r w:rsidR="00937690">
        <w:t>; “Meditation 17” 1</w:t>
      </w:r>
      <w:r w:rsidR="0067150A">
        <w:t>420</w:t>
      </w:r>
      <w:r w:rsidR="00937690">
        <w:t xml:space="preserve">; “Delight” </w:t>
      </w:r>
      <w:r w:rsidR="00937690">
        <w:tab/>
      </w:r>
      <w:r w:rsidR="00937690">
        <w:tab/>
      </w:r>
      <w:r w:rsidR="00937690">
        <w:tab/>
        <w:t>1</w:t>
      </w:r>
      <w:r w:rsidR="0067150A">
        <w:t>758</w:t>
      </w:r>
      <w:r w:rsidR="00937690">
        <w:t>; “Corinna’s” 1</w:t>
      </w:r>
      <w:r w:rsidR="0067150A">
        <w:t>760</w:t>
      </w:r>
      <w:r w:rsidR="00937690">
        <w:t>; “Virgins” 1</w:t>
      </w:r>
      <w:r w:rsidR="0067150A">
        <w:t>762</w:t>
      </w:r>
      <w:r w:rsidR="00937690">
        <w:t>; “Coy” 17</w:t>
      </w:r>
      <w:r w:rsidR="0067150A">
        <w:t>96</w:t>
      </w:r>
      <w:r w:rsidR="00937690">
        <w:t xml:space="preserve">; “Song” </w:t>
      </w:r>
      <w:r w:rsidR="0037594D">
        <w:t>(handout)</w:t>
      </w:r>
      <w:r w:rsidR="00937690">
        <w:t>; “Out”</w:t>
      </w:r>
    </w:p>
    <w:p w:rsidR="00D11CB1" w:rsidRDefault="0037594D" w:rsidP="00A96C1C">
      <w:pPr>
        <w:ind w:firstLine="0"/>
      </w:pPr>
      <w:r>
        <w:tab/>
      </w:r>
      <w:r>
        <w:tab/>
        <w:t>(</w:t>
      </w:r>
      <w:proofErr w:type="gramStart"/>
      <w:r>
        <w:t>handout</w:t>
      </w:r>
      <w:proofErr w:type="gramEnd"/>
      <w:r>
        <w:t>)</w:t>
      </w:r>
      <w:r w:rsidR="00937690">
        <w:t>;</w:t>
      </w:r>
      <w:r>
        <w:t xml:space="preserve"> “</w:t>
      </w:r>
      <w:proofErr w:type="spellStart"/>
      <w:r w:rsidR="00937690">
        <w:t>Lucasta</w:t>
      </w:r>
      <w:proofErr w:type="spellEnd"/>
      <w:r w:rsidR="00937690">
        <w:t>” 1</w:t>
      </w:r>
      <w:r w:rsidR="0067150A">
        <w:t>779</w:t>
      </w:r>
    </w:p>
    <w:p w:rsidR="00937690" w:rsidRDefault="00D2216C" w:rsidP="00A96C1C">
      <w:pPr>
        <w:ind w:firstLine="0"/>
      </w:pPr>
      <w:r>
        <w:t xml:space="preserve"> </w:t>
      </w:r>
      <w:r w:rsidR="00D11CB1">
        <w:t xml:space="preserve"> </w:t>
      </w:r>
      <w:r w:rsidR="00D11CB1">
        <w:tab/>
      </w:r>
      <w:r w:rsidR="003A0D75">
        <w:t xml:space="preserve">  4</w:t>
      </w:r>
      <w:r w:rsidR="00D11CB1">
        <w:t>:</w:t>
      </w:r>
      <w:r w:rsidR="00D11CB1">
        <w:tab/>
      </w:r>
      <w:r w:rsidR="00937690">
        <w:t>“Altar” 1</w:t>
      </w:r>
      <w:r w:rsidR="0067150A">
        <w:t>7</w:t>
      </w:r>
      <w:r w:rsidR="00937690">
        <w:t>07; “Redemption” 1</w:t>
      </w:r>
      <w:r w:rsidR="0067150A">
        <w:t>7</w:t>
      </w:r>
      <w:r w:rsidR="00937690">
        <w:t>0</w:t>
      </w:r>
      <w:r w:rsidR="0067150A">
        <w:t>8</w:t>
      </w:r>
      <w:r w:rsidR="00937690">
        <w:t>; “Wings” 1</w:t>
      </w:r>
      <w:r w:rsidR="0067150A">
        <w:t>7</w:t>
      </w:r>
      <w:r w:rsidR="00937690">
        <w:t>09;</w:t>
      </w:r>
      <w:r w:rsidR="00D11CB1">
        <w:t xml:space="preserve"> </w:t>
      </w:r>
      <w:r w:rsidR="00937690">
        <w:t>“Collar” 1</w:t>
      </w:r>
      <w:r w:rsidR="0067150A">
        <w:t>720</w:t>
      </w:r>
      <w:r w:rsidR="00937690">
        <w:t>;</w:t>
      </w:r>
      <w:r w:rsidR="0037594D">
        <w:t xml:space="preserve"> </w:t>
      </w:r>
      <w:r w:rsidR="00937690">
        <w:t>“Pulley” 1</w:t>
      </w:r>
      <w:r w:rsidR="0067150A">
        <w:t>7</w:t>
      </w:r>
      <w:r w:rsidR="00937690">
        <w:t>2</w:t>
      </w:r>
      <w:r w:rsidR="0067150A">
        <w:t>1</w:t>
      </w:r>
      <w:r w:rsidR="00937690">
        <w:t xml:space="preserve">; </w:t>
      </w:r>
      <w:r w:rsidR="00D11CB1">
        <w:tab/>
      </w:r>
      <w:r w:rsidR="00D11CB1">
        <w:tab/>
      </w:r>
      <w:r w:rsidR="00D11CB1">
        <w:tab/>
      </w:r>
      <w:r w:rsidR="00937690">
        <w:t>“Wounds” 1</w:t>
      </w:r>
      <w:r w:rsidR="0067150A">
        <w:t>7</w:t>
      </w:r>
      <w:r w:rsidR="00937690">
        <w:t>4</w:t>
      </w:r>
      <w:r w:rsidR="0067150A">
        <w:t>6</w:t>
      </w:r>
      <w:r w:rsidR="00937690">
        <w:t xml:space="preserve">; </w:t>
      </w:r>
      <w:r w:rsidR="00D11CB1">
        <w:t xml:space="preserve">“Soon” 1939; “Light” 1942; </w:t>
      </w:r>
      <w:proofErr w:type="spellStart"/>
      <w:r w:rsidR="00937690">
        <w:rPr>
          <w:u w:val="single"/>
        </w:rPr>
        <w:t>Areopagitica</w:t>
      </w:r>
      <w:proofErr w:type="spellEnd"/>
      <w:r w:rsidR="00937690">
        <w:t xml:space="preserve"> 1</w:t>
      </w:r>
      <w:r w:rsidR="00B81FC6">
        <w:t>929</w:t>
      </w:r>
    </w:p>
    <w:p w:rsidR="00D11CB1" w:rsidRDefault="00D11CB1" w:rsidP="00A96C1C">
      <w:pPr>
        <w:ind w:firstLine="0"/>
      </w:pPr>
      <w:r>
        <w:tab/>
        <w:t xml:space="preserve">  </w:t>
      </w:r>
      <w:r w:rsidR="003A0D75">
        <w:t>7</w:t>
      </w:r>
      <w:r>
        <w:t>:</w:t>
      </w:r>
      <w:r>
        <w:tab/>
      </w:r>
      <w:r w:rsidR="0037594D">
        <w:t>“</w:t>
      </w:r>
      <w:proofErr w:type="spellStart"/>
      <w:r w:rsidR="0037594D">
        <w:t>Methought</w:t>
      </w:r>
      <w:proofErr w:type="spellEnd"/>
      <w:r w:rsidR="0037594D">
        <w:t xml:space="preserve">” </w:t>
      </w:r>
      <w:r w:rsidR="00937690">
        <w:t>19</w:t>
      </w:r>
      <w:r w:rsidR="0037594D">
        <w:t>43</w:t>
      </w:r>
      <w:r w:rsidR="00937690">
        <w:t xml:space="preserve">; Milton 1797-1811; </w:t>
      </w:r>
      <w:r w:rsidR="00937690">
        <w:rPr>
          <w:u w:val="single"/>
        </w:rPr>
        <w:t>Pilgrim’s</w:t>
      </w:r>
      <w:r w:rsidR="00937690">
        <w:t xml:space="preserve"> 2</w:t>
      </w:r>
      <w:r w:rsidR="001A556F">
        <w:t>270</w:t>
      </w:r>
      <w:r w:rsidR="00937690">
        <w:t>;</w:t>
      </w:r>
      <w:r>
        <w:t xml:space="preserve"> </w:t>
      </w:r>
      <w:r w:rsidR="00937690">
        <w:rPr>
          <w:u w:val="single"/>
        </w:rPr>
        <w:t>Paradise Lost</w:t>
      </w:r>
    </w:p>
    <w:p w:rsidR="007A3E6C" w:rsidRDefault="00D11CB1" w:rsidP="00A96C1C">
      <w:pPr>
        <w:ind w:firstLine="0"/>
      </w:pPr>
      <w:r>
        <w:tab/>
        <w:t xml:space="preserve">  </w:t>
      </w:r>
      <w:r w:rsidR="003A0D75">
        <w:t>9</w:t>
      </w:r>
      <w:r>
        <w:t>:</w:t>
      </w:r>
      <w:r>
        <w:tab/>
      </w:r>
      <w:r w:rsidRPr="00D11CB1">
        <w:rPr>
          <w:u w:val="single"/>
        </w:rPr>
        <w:t>PL</w:t>
      </w:r>
      <w:r>
        <w:t xml:space="preserve"> </w:t>
      </w:r>
      <w:r w:rsidR="00937690" w:rsidRPr="00D11CB1">
        <w:t>1</w:t>
      </w:r>
      <w:r w:rsidR="0037594D" w:rsidRPr="00D11CB1">
        <w:t>945</w:t>
      </w:r>
      <w:r w:rsidR="00937690">
        <w:t>-</w:t>
      </w:r>
      <w:r w:rsidR="0037594D">
        <w:t>64</w:t>
      </w:r>
      <w:r w:rsidR="00937690">
        <w:t>, 1</w:t>
      </w:r>
      <w:r w:rsidR="0037594D">
        <w:t>977</w:t>
      </w:r>
      <w:r w:rsidR="00937690">
        <w:t>-</w:t>
      </w:r>
      <w:r w:rsidR="0037594D">
        <w:t>86</w:t>
      </w:r>
      <w:r w:rsidR="00937690">
        <w:t xml:space="preserve">, </w:t>
      </w:r>
      <w:r w:rsidR="00B81FC6">
        <w:t>2024-27</w:t>
      </w:r>
      <w:r w:rsidR="000F622E">
        <w:t>; Research Paper Conferences</w:t>
      </w:r>
    </w:p>
    <w:p w:rsidR="00716EC2" w:rsidRDefault="003A0D75" w:rsidP="00A96C1C">
      <w:pPr>
        <w:ind w:firstLine="0"/>
      </w:pPr>
      <w:r>
        <w:tab/>
        <w:t>11</w:t>
      </w:r>
      <w:r w:rsidR="00D11CB1">
        <w:t>:</w:t>
      </w:r>
      <w:r w:rsidR="00D11CB1">
        <w:tab/>
      </w:r>
      <w:r w:rsidR="00937690">
        <w:rPr>
          <w:u w:val="single"/>
        </w:rPr>
        <w:t>PL</w:t>
      </w:r>
      <w:r w:rsidR="00937690">
        <w:t xml:space="preserve"> </w:t>
      </w:r>
      <w:r w:rsidR="00B81FC6">
        <w:t>2091</w:t>
      </w:r>
      <w:r w:rsidR="00937690">
        <w:t>-</w:t>
      </w:r>
      <w:r w:rsidR="00B81FC6">
        <w:t>2116</w:t>
      </w:r>
    </w:p>
    <w:p w:rsidR="003A0D75" w:rsidRDefault="003A0D75" w:rsidP="00A96C1C">
      <w:pPr>
        <w:ind w:firstLine="0"/>
      </w:pPr>
      <w:r>
        <w:tab/>
        <w:t>14:</w:t>
      </w:r>
      <w:r>
        <w:tab/>
        <w:t>Test 3</w:t>
      </w:r>
    </w:p>
    <w:p w:rsidR="001A556F" w:rsidRDefault="00716EC2" w:rsidP="00A96C1C">
      <w:pPr>
        <w:ind w:firstLine="0"/>
      </w:pPr>
      <w:r>
        <w:tab/>
        <w:t>1</w:t>
      </w:r>
      <w:r w:rsidR="003A0D75">
        <w:t>6</w:t>
      </w:r>
      <w:r>
        <w:t>:</w:t>
      </w:r>
      <w:r>
        <w:tab/>
      </w:r>
      <w:r>
        <w:rPr>
          <w:u w:val="single"/>
        </w:rPr>
        <w:t>PL</w:t>
      </w:r>
      <w:r w:rsidR="00937690">
        <w:t xml:space="preserve"> 2</w:t>
      </w:r>
      <w:r w:rsidR="00B81FC6">
        <w:t>171</w:t>
      </w:r>
      <w:r w:rsidR="00937690">
        <w:t>-</w:t>
      </w:r>
      <w:r w:rsidR="00B81FC6">
        <w:t>7</w:t>
      </w:r>
      <w:r w:rsidR="00937690">
        <w:t>5; “</w:t>
      </w:r>
      <w:proofErr w:type="spellStart"/>
      <w:r w:rsidR="00937690">
        <w:t>Annus</w:t>
      </w:r>
      <w:proofErr w:type="spellEnd"/>
      <w:r w:rsidR="00937690">
        <w:t>” 2</w:t>
      </w:r>
      <w:r w:rsidR="00B81FC6">
        <w:t>210</w:t>
      </w:r>
      <w:r w:rsidR="00937690">
        <w:t>; “Shakespeare” 2</w:t>
      </w:r>
      <w:r w:rsidR="001A556F">
        <w:t>254</w:t>
      </w:r>
      <w:r w:rsidR="00937690">
        <w:t xml:space="preserve">; </w:t>
      </w:r>
      <w:r w:rsidR="001A556F">
        <w:t>“Chaucer” 2258;</w:t>
      </w:r>
    </w:p>
    <w:p w:rsidR="001A556F" w:rsidRDefault="001A556F" w:rsidP="00A96C1C">
      <w:pPr>
        <w:ind w:firstLine="0"/>
      </w:pPr>
      <w:r>
        <w:tab/>
      </w:r>
      <w:r>
        <w:tab/>
      </w:r>
      <w:r w:rsidR="00937690">
        <w:t>“Diary” 2</w:t>
      </w:r>
      <w:r>
        <w:t>260</w:t>
      </w:r>
      <w:r w:rsidR="00716EC2">
        <w:t>; “Absalom” 2214</w:t>
      </w:r>
    </w:p>
    <w:p w:rsidR="00716EC2" w:rsidRPr="00716EC2" w:rsidRDefault="00716EC2" w:rsidP="00A96C1C">
      <w:pPr>
        <w:ind w:firstLine="0"/>
      </w:pPr>
      <w:r>
        <w:tab/>
        <w:t>1</w:t>
      </w:r>
      <w:r w:rsidR="003A0D75">
        <w:t>8</w:t>
      </w:r>
      <w:r w:rsidR="00937690">
        <w:t>:</w:t>
      </w:r>
      <w:r w:rsidR="00937690">
        <w:tab/>
        <w:t>“Absalom” 2</w:t>
      </w:r>
      <w:r w:rsidR="001A556F">
        <w:t>214</w:t>
      </w:r>
      <w:r>
        <w:t xml:space="preserve">; </w:t>
      </w:r>
      <w:r>
        <w:rPr>
          <w:u w:val="single"/>
        </w:rPr>
        <w:t>Way</w:t>
      </w:r>
      <w:r>
        <w:t xml:space="preserve"> 2360</w:t>
      </w:r>
      <w:r w:rsidR="00F61D54">
        <w:t>-72</w:t>
      </w:r>
    </w:p>
    <w:p w:rsidR="00716EC2" w:rsidRDefault="003A0D75" w:rsidP="00A96C1C">
      <w:pPr>
        <w:ind w:firstLine="0"/>
      </w:pPr>
      <w:r>
        <w:tab/>
        <w:t>21</w:t>
      </w:r>
      <w:r w:rsidR="00716EC2">
        <w:t>:</w:t>
      </w:r>
      <w:r w:rsidR="00716EC2">
        <w:tab/>
      </w:r>
      <w:r w:rsidR="00937690">
        <w:rPr>
          <w:u w:val="single"/>
        </w:rPr>
        <w:t>Way</w:t>
      </w:r>
      <w:r w:rsidR="00937690">
        <w:t xml:space="preserve"> 2</w:t>
      </w:r>
      <w:r w:rsidR="001A556F">
        <w:t>3</w:t>
      </w:r>
      <w:r w:rsidR="00F61D54">
        <w:t>72</w:t>
      </w:r>
      <w:r w:rsidR="00937690">
        <w:t>-</w:t>
      </w:r>
      <w:r w:rsidR="00F61D54">
        <w:t>2408</w:t>
      </w:r>
      <w:r w:rsidR="00716EC2">
        <w:t>; Research Paper due</w:t>
      </w:r>
    </w:p>
    <w:p w:rsidR="003A0D75" w:rsidRDefault="00743D3B" w:rsidP="00A96C1C">
      <w:pPr>
        <w:ind w:firstLine="0"/>
      </w:pPr>
      <w:r>
        <w:t xml:space="preserve">       23-25:</w:t>
      </w:r>
      <w:r w:rsidR="003A0D75">
        <w:tab/>
      </w:r>
      <w:r>
        <w:t>Thanksgiving Break</w:t>
      </w:r>
    </w:p>
    <w:p w:rsidR="00937690" w:rsidRDefault="00743D3B" w:rsidP="00A96C1C">
      <w:pPr>
        <w:ind w:firstLine="0"/>
      </w:pPr>
      <w:r>
        <w:tab/>
        <w:t>2</w:t>
      </w:r>
      <w:r w:rsidR="00D2216C">
        <w:t>8</w:t>
      </w:r>
      <w:r w:rsidR="00716EC2">
        <w:t>:</w:t>
      </w:r>
      <w:r w:rsidR="00716EC2">
        <w:tab/>
      </w:r>
      <w:r w:rsidR="00137B45">
        <w:rPr>
          <w:u w:val="single"/>
        </w:rPr>
        <w:t>Way</w:t>
      </w:r>
      <w:r w:rsidR="00137B45">
        <w:t xml:space="preserve"> 2</w:t>
      </w:r>
      <w:r w:rsidR="00F61D54">
        <w:t>40</w:t>
      </w:r>
      <w:r w:rsidR="00047D31">
        <w:t>8</w:t>
      </w:r>
      <w:r w:rsidR="00137B45">
        <w:t>-</w:t>
      </w:r>
      <w:r w:rsidR="00047D31">
        <w:t>20</w:t>
      </w:r>
      <w:r w:rsidR="00137B45">
        <w:t>; “Shower” 2</w:t>
      </w:r>
      <w:r w:rsidR="00047D31">
        <w:t>466</w:t>
      </w:r>
      <w:r w:rsidR="00137B45">
        <w:t>; “Modest” 2</w:t>
      </w:r>
      <w:r w:rsidR="00047D31">
        <w:t>633</w:t>
      </w:r>
    </w:p>
    <w:p w:rsidR="00335935" w:rsidRDefault="00743D3B" w:rsidP="00A96C1C">
      <w:pPr>
        <w:ind w:firstLine="0"/>
      </w:pPr>
      <w:r>
        <w:tab/>
        <w:t>3</w:t>
      </w:r>
      <w:r w:rsidR="00D2216C">
        <w:t>0</w:t>
      </w:r>
      <w:r w:rsidR="00D00AE3">
        <w:t>:</w:t>
      </w:r>
      <w:r w:rsidR="00D00AE3">
        <w:tab/>
      </w:r>
      <w:r w:rsidR="00D00AE3">
        <w:rPr>
          <w:u w:val="single"/>
        </w:rPr>
        <w:t>Gulliver’s</w:t>
      </w:r>
      <w:r w:rsidR="00D00AE3">
        <w:t xml:space="preserve"> 2</w:t>
      </w:r>
      <w:r w:rsidR="00047D31">
        <w:t>492</w:t>
      </w:r>
      <w:r w:rsidR="00D00AE3">
        <w:t>-5</w:t>
      </w:r>
      <w:r w:rsidR="00047D31">
        <w:t>31</w:t>
      </w:r>
      <w:r w:rsidR="00D00AE3">
        <w:t>; Steele 2</w:t>
      </w:r>
      <w:r w:rsidR="00047D31">
        <w:t>641</w:t>
      </w:r>
      <w:r w:rsidR="00D00AE3">
        <w:t>-</w:t>
      </w:r>
      <w:r w:rsidR="00047D31">
        <w:t>44</w:t>
      </w:r>
      <w:r w:rsidR="00D00AE3">
        <w:t>, Handout; Addison 2</w:t>
      </w:r>
      <w:r w:rsidR="00525462">
        <w:t>657</w:t>
      </w:r>
      <w:r w:rsidR="00D00AE3">
        <w:t>-</w:t>
      </w:r>
      <w:r w:rsidR="00525462">
        <w:t>60;</w:t>
      </w:r>
      <w:r w:rsidR="00D00AE3">
        <w:t xml:space="preserve"> 2</w:t>
      </w:r>
      <w:r w:rsidR="00525462">
        <w:t>662</w:t>
      </w:r>
      <w:r w:rsidR="00D00AE3">
        <w:t>-</w:t>
      </w:r>
      <w:r w:rsidR="00525462">
        <w:t>65</w:t>
      </w:r>
      <w:r w:rsidR="00D00AE3">
        <w:t xml:space="preserve">; </w:t>
      </w:r>
      <w:r w:rsidR="00D00AE3">
        <w:tab/>
      </w:r>
      <w:r w:rsidR="00D00AE3">
        <w:tab/>
      </w:r>
      <w:r w:rsidR="00D00AE3">
        <w:tab/>
        <w:t>“Criticism” 2</w:t>
      </w:r>
      <w:r w:rsidR="00525462">
        <w:t>669</w:t>
      </w:r>
    </w:p>
    <w:p w:rsidR="00D2216C" w:rsidRDefault="00743D3B" w:rsidP="00A96C1C">
      <w:pPr>
        <w:ind w:firstLine="0"/>
      </w:pPr>
      <w:proofErr w:type="gramStart"/>
      <w:r>
        <w:t>Dec.</w:t>
      </w:r>
      <w:proofErr w:type="gramEnd"/>
      <w:r w:rsidR="00716EC2">
        <w:t xml:space="preserve">    </w:t>
      </w:r>
      <w:r w:rsidR="00D2216C">
        <w:tab/>
      </w:r>
      <w:r>
        <w:t xml:space="preserve">  </w:t>
      </w:r>
      <w:r w:rsidR="00D2216C">
        <w:t>2:</w:t>
      </w:r>
      <w:r w:rsidR="00D00AE3">
        <w:tab/>
      </w:r>
      <w:r w:rsidR="00D00AE3">
        <w:rPr>
          <w:u w:val="single"/>
        </w:rPr>
        <w:t>Gulliver’s</w:t>
      </w:r>
      <w:r w:rsidR="00D00AE3">
        <w:t xml:space="preserve"> 2</w:t>
      </w:r>
      <w:r w:rsidR="00047D31">
        <w:t>587</w:t>
      </w:r>
      <w:r w:rsidR="00D00AE3">
        <w:t>-</w:t>
      </w:r>
      <w:r w:rsidR="00047D31">
        <w:t>609</w:t>
      </w:r>
      <w:r w:rsidR="00D00AE3">
        <w:t>, 2</w:t>
      </w:r>
      <w:r w:rsidR="00047D31">
        <w:t>629</w:t>
      </w:r>
      <w:r w:rsidR="00D00AE3">
        <w:t>-</w:t>
      </w:r>
      <w:r w:rsidR="00047D31">
        <w:t>33</w:t>
      </w:r>
      <w:r w:rsidR="00D00AE3">
        <w:t>; “Man” 2</w:t>
      </w:r>
      <w:r w:rsidR="00525462">
        <w:t>714</w:t>
      </w:r>
      <w:r w:rsidR="00D00AE3">
        <w:t xml:space="preserve">; </w:t>
      </w:r>
      <w:proofErr w:type="spellStart"/>
      <w:r w:rsidR="00D00AE3">
        <w:rPr>
          <w:u w:val="single"/>
        </w:rPr>
        <w:t>Dunciad</w:t>
      </w:r>
      <w:proofErr w:type="spellEnd"/>
      <w:r w:rsidR="00D00AE3">
        <w:t xml:space="preserve"> 2</w:t>
      </w:r>
      <w:r w:rsidR="00525462">
        <w:t>734-35</w:t>
      </w:r>
      <w:r w:rsidR="00D00AE3">
        <w:t>, 2</w:t>
      </w:r>
      <w:r w:rsidR="00525462">
        <w:t>737</w:t>
      </w:r>
      <w:r w:rsidR="00D00AE3">
        <w:t>-</w:t>
      </w:r>
      <w:r w:rsidR="00525462">
        <w:t>39</w:t>
      </w:r>
      <w:r w:rsidR="00716EC2">
        <w:t xml:space="preserve">; </w:t>
      </w:r>
      <w:r w:rsidR="00D00AE3">
        <w:t xml:space="preserve">Johnson </w:t>
      </w:r>
      <w:r w:rsidR="00716EC2">
        <w:tab/>
      </w:r>
      <w:r w:rsidR="00716EC2">
        <w:tab/>
      </w:r>
      <w:r w:rsidR="00716EC2">
        <w:tab/>
      </w:r>
      <w:r w:rsidR="00D00AE3">
        <w:t>2</w:t>
      </w:r>
      <w:r w:rsidR="00525462">
        <w:t>923-2</w:t>
      </w:r>
      <w:r w:rsidR="00D00AE3">
        <w:t>9, 2</w:t>
      </w:r>
      <w:r w:rsidR="00525462">
        <w:t>934</w:t>
      </w:r>
      <w:r w:rsidR="00D00AE3">
        <w:t>-</w:t>
      </w:r>
      <w:r w:rsidR="00525462">
        <w:t>36</w:t>
      </w:r>
      <w:r w:rsidR="00D00AE3">
        <w:t>, 2</w:t>
      </w:r>
      <w:r w:rsidR="00525462">
        <w:t>936-4</w:t>
      </w:r>
      <w:r w:rsidR="00D00AE3">
        <w:t>7</w:t>
      </w:r>
    </w:p>
    <w:p w:rsidR="00D00AE3" w:rsidRDefault="007A3E6C" w:rsidP="00A96C1C">
      <w:pPr>
        <w:ind w:firstLine="0"/>
      </w:pPr>
      <w:r>
        <w:tab/>
      </w:r>
      <w:r w:rsidR="00743D3B">
        <w:t xml:space="preserve">  5</w:t>
      </w:r>
      <w:r w:rsidR="00D00AE3">
        <w:t>:</w:t>
      </w:r>
      <w:r w:rsidR="00D00AE3">
        <w:tab/>
      </w:r>
      <w:r w:rsidR="00D00AE3">
        <w:rPr>
          <w:u w:val="single"/>
        </w:rPr>
        <w:t>Rape of the Lock</w:t>
      </w:r>
      <w:r w:rsidR="00D00AE3">
        <w:t xml:space="preserve"> 2</w:t>
      </w:r>
      <w:r w:rsidR="00525462">
        <w:t>686</w:t>
      </w:r>
      <w:r w:rsidR="00D00AE3">
        <w:t xml:space="preserve">; </w:t>
      </w:r>
      <w:r w:rsidR="00D00AE3">
        <w:rPr>
          <w:u w:val="single"/>
        </w:rPr>
        <w:t>Life</w:t>
      </w:r>
      <w:r w:rsidR="00D00AE3">
        <w:t xml:space="preserve"> 2</w:t>
      </w:r>
      <w:r w:rsidR="00525462">
        <w:t>962</w:t>
      </w:r>
      <w:r w:rsidR="00D00AE3">
        <w:t>-</w:t>
      </w:r>
      <w:r w:rsidR="00525462">
        <w:t>63</w:t>
      </w:r>
      <w:r w:rsidR="00D00AE3">
        <w:t>, 2</w:t>
      </w:r>
      <w:r w:rsidR="00525462">
        <w:t>969</w:t>
      </w:r>
      <w:r w:rsidR="00D00AE3">
        <w:t>-</w:t>
      </w:r>
      <w:r w:rsidR="00525462">
        <w:t>7</w:t>
      </w:r>
      <w:r w:rsidR="00D00AE3">
        <w:t>9, 2</w:t>
      </w:r>
      <w:r w:rsidR="00FD58A0">
        <w:t>990</w:t>
      </w:r>
      <w:r w:rsidR="00D00AE3">
        <w:t>-</w:t>
      </w:r>
      <w:r w:rsidR="00FD58A0">
        <w:t>92</w:t>
      </w:r>
      <w:r w:rsidR="00D00AE3">
        <w:t>; “</w:t>
      </w:r>
      <w:proofErr w:type="gramStart"/>
      <w:r w:rsidR="00D00AE3">
        <w:t>Autumn</w:t>
      </w:r>
      <w:proofErr w:type="gramEnd"/>
      <w:r w:rsidR="00D00AE3">
        <w:t xml:space="preserve">” </w:t>
      </w:r>
      <w:r w:rsidR="00FD58A0">
        <w:t>3044</w:t>
      </w:r>
    </w:p>
    <w:p w:rsidR="00D00AE3" w:rsidRDefault="00D00AE3" w:rsidP="00A96C1C">
      <w:pPr>
        <w:ind w:firstLine="0"/>
      </w:pPr>
      <w:r>
        <w:tab/>
        <w:t xml:space="preserve">  </w:t>
      </w:r>
      <w:r w:rsidR="00743D3B">
        <w:t>7</w:t>
      </w:r>
      <w:r>
        <w:t>:</w:t>
      </w:r>
      <w:r>
        <w:tab/>
        <w:t xml:space="preserve">“Eton” </w:t>
      </w:r>
      <w:r w:rsidR="00FD58A0">
        <w:t>3047</w:t>
      </w:r>
      <w:r>
        <w:t xml:space="preserve">; “Elegy” </w:t>
      </w:r>
      <w:r w:rsidR="00FD58A0">
        <w:t>3051</w:t>
      </w:r>
      <w:r>
        <w:t>; “</w:t>
      </w:r>
      <w:proofErr w:type="spellStart"/>
      <w:r>
        <w:t>Jeoffry</w:t>
      </w:r>
      <w:proofErr w:type="spellEnd"/>
      <w:r>
        <w:t xml:space="preserve">” </w:t>
      </w:r>
      <w:r w:rsidR="00FD58A0">
        <w:t>3059</w:t>
      </w:r>
      <w:r>
        <w:t xml:space="preserve">; “Village” </w:t>
      </w:r>
      <w:r w:rsidR="00FD58A0">
        <w:t>3062</w:t>
      </w:r>
      <w:r>
        <w:t xml:space="preserve">; “Village” </w:t>
      </w:r>
      <w:r w:rsidR="00FD58A0">
        <w:t>(handout)</w:t>
      </w:r>
      <w:r>
        <w:t xml:space="preserve">; </w:t>
      </w:r>
      <w:r>
        <w:tab/>
      </w:r>
      <w:r>
        <w:tab/>
      </w:r>
      <w:r>
        <w:tab/>
        <w:t xml:space="preserve">“Castaway” </w:t>
      </w:r>
      <w:r w:rsidR="00FD58A0">
        <w:t>3077</w:t>
      </w:r>
    </w:p>
    <w:p w:rsidR="00D2216C" w:rsidRDefault="00D2216C" w:rsidP="00A96C1C">
      <w:pPr>
        <w:ind w:firstLine="0"/>
      </w:pPr>
      <w:r>
        <w:tab/>
        <w:t xml:space="preserve">  </w:t>
      </w:r>
      <w:r w:rsidR="00743D3B">
        <w:t>9</w:t>
      </w:r>
      <w:r>
        <w:t>:</w:t>
      </w:r>
      <w:r>
        <w:tab/>
        <w:t>Catch-up Day</w:t>
      </w:r>
    </w:p>
    <w:p w:rsidR="00D00AE3" w:rsidRPr="00D00AE3" w:rsidRDefault="00335935" w:rsidP="00A96C1C">
      <w:pPr>
        <w:ind w:firstLine="0"/>
      </w:pPr>
      <w:r>
        <w:t xml:space="preserve">      </w:t>
      </w:r>
      <w:r w:rsidR="00743D3B">
        <w:t xml:space="preserve"> 12</w:t>
      </w:r>
      <w:r w:rsidR="00C862A1">
        <w:t>-</w:t>
      </w:r>
      <w:r w:rsidR="00D00AE3">
        <w:t>1</w:t>
      </w:r>
      <w:r w:rsidR="00743D3B">
        <w:t>6</w:t>
      </w:r>
      <w:r w:rsidR="00C862A1">
        <w:t>:</w:t>
      </w:r>
      <w:r w:rsidR="00C862A1">
        <w:tab/>
        <w:t>Final Exam</w:t>
      </w:r>
    </w:p>
    <w:p w:rsidR="005316F1" w:rsidRDefault="005316F1" w:rsidP="00A96C1C">
      <w:pPr>
        <w:ind w:firstLine="0"/>
      </w:pPr>
      <w:r>
        <w:tab/>
      </w:r>
    </w:p>
    <w:p w:rsidR="00A96C1C" w:rsidRDefault="00A96C1C" w:rsidP="00A96C1C">
      <w:pPr>
        <w:ind w:firstLine="0"/>
      </w:pPr>
      <w:r>
        <w:rPr>
          <w:b/>
        </w:rPr>
        <w:t>Course Requirements</w:t>
      </w:r>
    </w:p>
    <w:p w:rsidR="00A96C1C" w:rsidRDefault="00A96C1C" w:rsidP="00A96C1C">
      <w:pPr>
        <w:ind w:firstLine="0"/>
      </w:pPr>
    </w:p>
    <w:p w:rsidR="00A649FC" w:rsidRDefault="0027777F" w:rsidP="00A96C1C">
      <w:pPr>
        <w:ind w:firstLine="0"/>
      </w:pPr>
      <w:r>
        <w:t>4</w:t>
      </w:r>
      <w:r w:rsidR="00A649FC">
        <w:t xml:space="preserve"> Exams:  Tests include identification, paragraph answers, and essay questions.  Essay </w:t>
      </w:r>
      <w:r w:rsidR="00A649FC">
        <w:tab/>
        <w:t>questions may be comprehensive.</w:t>
      </w:r>
    </w:p>
    <w:p w:rsidR="0067438E" w:rsidRDefault="00A649FC" w:rsidP="00A96C1C">
      <w:pPr>
        <w:ind w:firstLine="0"/>
      </w:pPr>
      <w:r>
        <w:t xml:space="preserve">Research Paper:  The scholarly research paper presents the student’s original argument </w:t>
      </w:r>
      <w:r>
        <w:tab/>
        <w:t xml:space="preserve">concerning a text or texts written during the literary periods studied.  A minimum of </w:t>
      </w:r>
      <w:r>
        <w:tab/>
        <w:t>seven scholarly sources are to be cited in addition to the text(</w:t>
      </w:r>
      <w:r w:rsidR="0027777F">
        <w:t xml:space="preserve">s) studied.  The paper </w:t>
      </w:r>
      <w:r w:rsidR="0027777F">
        <w:tab/>
        <w:t>covers 10</w:t>
      </w:r>
      <w:r>
        <w:t>-1</w:t>
      </w:r>
      <w:r w:rsidR="0027777F">
        <w:t>2</w:t>
      </w:r>
      <w:r>
        <w:t xml:space="preserve"> pages, follows MLA format, and includes a formal sentence outline.  The </w:t>
      </w:r>
      <w:r>
        <w:tab/>
        <w:t xml:space="preserve">essay </w:t>
      </w:r>
      <w:r w:rsidR="0067438E">
        <w:t xml:space="preserve">argues in support of </w:t>
      </w:r>
      <w:r>
        <w:t xml:space="preserve">the student’s interpretation of </w:t>
      </w:r>
      <w:r w:rsidR="0067438E">
        <w:t xml:space="preserve">a debatable literary problem, </w:t>
      </w:r>
      <w:r w:rsidR="0067438E">
        <w:tab/>
        <w:t xml:space="preserve">perhaps centering on a symbol, character, word, setting, theme, or idea.  Research is </w:t>
      </w:r>
      <w:r w:rsidR="0067438E">
        <w:tab/>
        <w:t xml:space="preserve">incorporated to support the student’s position; however, the research paper focuses </w:t>
      </w:r>
      <w:r w:rsidR="0067438E">
        <w:tab/>
        <w:t xml:space="preserve">not on what critics say about the text but on the student’s defense of his or her </w:t>
      </w:r>
      <w:r w:rsidR="0067438E">
        <w:tab/>
        <w:t xml:space="preserve">position within an interpretative debate.  Thus, the literary text itself is the primary focus </w:t>
      </w:r>
    </w:p>
    <w:p w:rsidR="00A649FC" w:rsidRDefault="0067438E" w:rsidP="00A96C1C">
      <w:pPr>
        <w:ind w:firstLine="0"/>
      </w:pPr>
      <w:r>
        <w:tab/>
      </w:r>
      <w:proofErr w:type="gramStart"/>
      <w:r>
        <w:t>of</w:t>
      </w:r>
      <w:proofErr w:type="gramEnd"/>
      <w:r>
        <w:t xml:space="preserve"> the analysis.  Close reading of a text, soundly-based and well-presented argument </w:t>
      </w:r>
      <w:r w:rsidR="00F858CC">
        <w:tab/>
      </w:r>
      <w:r>
        <w:t>interpreting</w:t>
      </w:r>
      <w:r w:rsidR="000F622E">
        <w:t xml:space="preserve"> the text, and skillful research are the goals of the paper.  Students express </w:t>
      </w:r>
      <w:r w:rsidR="00F858CC">
        <w:tab/>
      </w:r>
      <w:r w:rsidR="000F622E">
        <w:t xml:space="preserve">their topic, plan, and resources for the paper within a research proposal early in the </w:t>
      </w:r>
      <w:r w:rsidR="00F858CC">
        <w:tab/>
      </w:r>
      <w:r w:rsidR="000F622E">
        <w:t>semester</w:t>
      </w:r>
      <w:r w:rsidR="00F858CC">
        <w:t xml:space="preserve">.  Students planning to do graduate work in English should research a text not </w:t>
      </w:r>
      <w:r w:rsidR="00F858CC">
        <w:tab/>
        <w:t xml:space="preserve">studied within the course.  </w:t>
      </w:r>
      <w:r w:rsidR="00743D3B">
        <w:t xml:space="preserve">Like all essays for the course, the research paper is </w:t>
      </w:r>
      <w:r w:rsidR="00743D3B">
        <w:tab/>
        <w:t>submitted to TurnItIn.com</w:t>
      </w:r>
      <w:r w:rsidR="00F858CC">
        <w:t>.</w:t>
      </w:r>
    </w:p>
    <w:p w:rsidR="00F858CC" w:rsidRDefault="00F858CC" w:rsidP="00A96C1C">
      <w:pPr>
        <w:ind w:firstLine="0"/>
      </w:pPr>
      <w:r>
        <w:t>Analysis of a Literary Character:  Students develop a f</w:t>
      </w:r>
      <w:r w:rsidR="00442D86">
        <w:t>ive</w:t>
      </w:r>
      <w:r>
        <w:t xml:space="preserve">-page argument analyzing a character, </w:t>
      </w:r>
      <w:r>
        <w:tab/>
        <w:t>providing strong textual support for their conclusions.</w:t>
      </w:r>
      <w:r w:rsidR="00442D86">
        <w:t xml:space="preserve">  The character must be from </w:t>
      </w:r>
      <w:r w:rsidR="00442D86">
        <w:tab/>
        <w:t>British literature prior to 1785</w:t>
      </w:r>
      <w:r w:rsidR="00B148DA">
        <w:t xml:space="preserve"> and, if the student desires, may be selected from texts the </w:t>
      </w:r>
      <w:r w:rsidR="00B148DA">
        <w:tab/>
        <w:t>class has already discussed.</w:t>
      </w:r>
    </w:p>
    <w:p w:rsidR="00F858CC" w:rsidRDefault="00F858CC" w:rsidP="00A96C1C">
      <w:pPr>
        <w:ind w:firstLine="0"/>
      </w:pPr>
      <w:r>
        <w:t xml:space="preserve">Poem Analysis:  In a minimum of </w:t>
      </w:r>
      <w:r w:rsidR="00442D86">
        <w:t xml:space="preserve">four </w:t>
      </w:r>
      <w:r>
        <w:t xml:space="preserve">pages, students thoroughly explicate and analyze a </w:t>
      </w:r>
      <w:r>
        <w:tab/>
        <w:t xml:space="preserve">short </w:t>
      </w:r>
      <w:r w:rsidR="00B148DA">
        <w:t xml:space="preserve">British </w:t>
      </w:r>
      <w:r>
        <w:t>poem</w:t>
      </w:r>
      <w:r w:rsidR="00B148DA">
        <w:t xml:space="preserve"> written before 1785</w:t>
      </w:r>
      <w:r>
        <w:t>.</w:t>
      </w:r>
      <w:r w:rsidR="00B148DA">
        <w:t xml:space="preserve">  The poem should be selected from works not </w:t>
      </w:r>
      <w:r w:rsidR="00B148DA">
        <w:tab/>
        <w:t>previously discussed in class.</w:t>
      </w:r>
    </w:p>
    <w:p w:rsidR="00F858CC" w:rsidRDefault="00F858CC" w:rsidP="00A96C1C">
      <w:pPr>
        <w:ind w:firstLine="0"/>
      </w:pPr>
      <w:r>
        <w:t xml:space="preserve">Conferences:  Students are expected to visit the instructor’s office at least once during the </w:t>
      </w:r>
      <w:r>
        <w:tab/>
        <w:t xml:space="preserve">semester to discuss their progress and to receive guidance in writing the research </w:t>
      </w:r>
      <w:r>
        <w:tab/>
        <w:t>paper.</w:t>
      </w:r>
    </w:p>
    <w:p w:rsidR="00F858CC" w:rsidRPr="00A649FC" w:rsidRDefault="00F858CC" w:rsidP="00A96C1C">
      <w:pPr>
        <w:ind w:firstLine="0"/>
      </w:pPr>
      <w:r>
        <w:t xml:space="preserve">Participation:  Students are expected to attend class, student conferences, theater trips, and the </w:t>
      </w:r>
      <w:r>
        <w:tab/>
        <w:t xml:space="preserve">fall play; to be prepared to participate actively in every class meeting; to contribute to </w:t>
      </w:r>
      <w:r>
        <w:tab/>
        <w:t xml:space="preserve">class and </w:t>
      </w:r>
      <w:proofErr w:type="gramStart"/>
      <w:r>
        <w:t>peer</w:t>
      </w:r>
      <w:proofErr w:type="gramEnd"/>
      <w:r>
        <w:t xml:space="preserve"> group discussions; to complete writing and reading assignments on time; </w:t>
      </w:r>
      <w:r>
        <w:tab/>
        <w:t>and to participate in all in-class exercises.</w:t>
      </w:r>
    </w:p>
    <w:p w:rsidR="00472195" w:rsidRDefault="00472195" w:rsidP="003F6AF2">
      <w:pPr>
        <w:ind w:firstLine="0"/>
      </w:pPr>
    </w:p>
    <w:p w:rsidR="00A96C1C" w:rsidRDefault="00A96C1C" w:rsidP="003F6AF2">
      <w:pPr>
        <w:ind w:firstLine="0"/>
      </w:pPr>
      <w:r>
        <w:rPr>
          <w:b/>
        </w:rPr>
        <w:t>Evaluation</w:t>
      </w:r>
    </w:p>
    <w:p w:rsidR="00A96C1C" w:rsidRDefault="00A96C1C" w:rsidP="00A96C1C">
      <w:pPr>
        <w:ind w:firstLine="0"/>
      </w:pPr>
    </w:p>
    <w:p w:rsidR="00A96C1C" w:rsidRDefault="00A96C1C" w:rsidP="00A96C1C">
      <w:pPr>
        <w:ind w:firstLine="0"/>
      </w:pPr>
      <w:r>
        <w:t>The</w:t>
      </w:r>
      <w:r w:rsidR="00F858CC">
        <w:t>se</w:t>
      </w:r>
      <w:r>
        <w:t xml:space="preserve"> elements</w:t>
      </w:r>
      <w:r w:rsidR="00F858CC">
        <w:t xml:space="preserve"> compose the final grade</w:t>
      </w:r>
      <w:r>
        <w:t>:</w:t>
      </w:r>
    </w:p>
    <w:p w:rsidR="00A96C1C" w:rsidRDefault="00A96C1C" w:rsidP="00A96C1C">
      <w:pPr>
        <w:ind w:firstLine="0"/>
      </w:pPr>
    </w:p>
    <w:p w:rsidR="00472195" w:rsidRDefault="0027777F" w:rsidP="00AF6A9C">
      <w:pPr>
        <w:ind w:firstLine="720"/>
      </w:pPr>
      <w:r>
        <w:t>4</w:t>
      </w:r>
      <w:r w:rsidR="00F858CC">
        <w:t xml:space="preserve"> Exams</w:t>
      </w:r>
      <w:r w:rsidR="00472195">
        <w:t xml:space="preserve"> – </w:t>
      </w:r>
      <w:r>
        <w:t>4</w:t>
      </w:r>
      <w:r w:rsidR="00472195">
        <w:t>00 points</w:t>
      </w:r>
    </w:p>
    <w:p w:rsidR="007C5E07" w:rsidRDefault="00F858CC" w:rsidP="00AF6A9C">
      <w:pPr>
        <w:ind w:firstLine="720"/>
      </w:pPr>
      <w:r>
        <w:t>Research Paper</w:t>
      </w:r>
      <w:r w:rsidR="007C5E07">
        <w:t xml:space="preserve"> – 1</w:t>
      </w:r>
      <w:r>
        <w:t>3</w:t>
      </w:r>
      <w:r w:rsidR="007C5E07">
        <w:t>0 points</w:t>
      </w:r>
    </w:p>
    <w:p w:rsidR="007C5E07" w:rsidRDefault="00F858CC" w:rsidP="00AF6A9C">
      <w:pPr>
        <w:ind w:firstLine="720"/>
      </w:pPr>
      <w:r>
        <w:t xml:space="preserve">2 Literary Analyses </w:t>
      </w:r>
      <w:r w:rsidR="007C5E07">
        <w:t>– 100 points</w:t>
      </w:r>
    </w:p>
    <w:p w:rsidR="00472195" w:rsidRDefault="00F858CC" w:rsidP="00A96C1C">
      <w:pPr>
        <w:ind w:firstLine="0"/>
      </w:pPr>
      <w:r>
        <w:tab/>
        <w:t>Participation – 20 points</w:t>
      </w:r>
    </w:p>
    <w:p w:rsidR="00F858CC" w:rsidRDefault="00F858CC" w:rsidP="00A96C1C">
      <w:pPr>
        <w:ind w:firstLine="0"/>
      </w:pPr>
    </w:p>
    <w:p w:rsidR="00A96C1C" w:rsidRDefault="00A96C1C" w:rsidP="00A96C1C">
      <w:pPr>
        <w:ind w:firstLine="0"/>
      </w:pPr>
      <w:r>
        <w:t>Grading Scale</w:t>
      </w:r>
      <w:r w:rsidR="00F858CC">
        <w:t>:</w:t>
      </w:r>
    </w:p>
    <w:p w:rsidR="007C5E07" w:rsidRDefault="007C5E07" w:rsidP="00A96C1C">
      <w:pPr>
        <w:ind w:firstLine="0"/>
      </w:pPr>
    </w:p>
    <w:p w:rsidR="007C5E07" w:rsidRDefault="007C5E07" w:rsidP="00A96C1C">
      <w:pPr>
        <w:ind w:firstLine="0"/>
      </w:pPr>
      <w:r>
        <w:tab/>
        <w:t xml:space="preserve">A = </w:t>
      </w:r>
      <w:r w:rsidR="00B148DA">
        <w:t>585-650</w:t>
      </w:r>
      <w:r w:rsidR="00F858CC">
        <w:t xml:space="preserve"> points</w:t>
      </w:r>
    </w:p>
    <w:p w:rsidR="007C5E07" w:rsidRDefault="00F858CC" w:rsidP="00A96C1C">
      <w:pPr>
        <w:ind w:firstLine="0"/>
      </w:pPr>
      <w:r>
        <w:tab/>
        <w:t xml:space="preserve">B = </w:t>
      </w:r>
      <w:r w:rsidR="00B148DA">
        <w:t>520-584</w:t>
      </w:r>
      <w:r>
        <w:t xml:space="preserve"> points</w:t>
      </w:r>
    </w:p>
    <w:p w:rsidR="007C5E07" w:rsidRDefault="00F858CC" w:rsidP="00A96C1C">
      <w:pPr>
        <w:ind w:firstLine="0"/>
      </w:pPr>
      <w:r>
        <w:tab/>
        <w:t xml:space="preserve">C = </w:t>
      </w:r>
      <w:r w:rsidR="00B148DA">
        <w:t>455-519</w:t>
      </w:r>
      <w:r>
        <w:t xml:space="preserve"> points</w:t>
      </w:r>
    </w:p>
    <w:p w:rsidR="007D60A2" w:rsidRDefault="00B148DA" w:rsidP="00A96C1C">
      <w:pPr>
        <w:ind w:firstLine="0"/>
      </w:pPr>
      <w:r>
        <w:tab/>
        <w:t>D = 390-454</w:t>
      </w:r>
      <w:r w:rsidR="007D60A2">
        <w:t xml:space="preserve"> points</w:t>
      </w:r>
    </w:p>
    <w:p w:rsidR="007C5E07" w:rsidRDefault="007D60A2" w:rsidP="00A96C1C">
      <w:pPr>
        <w:ind w:firstLine="0"/>
      </w:pPr>
      <w:r>
        <w:tab/>
        <w:t>F</w:t>
      </w:r>
      <w:r w:rsidR="00B148DA">
        <w:t xml:space="preserve"> = 0-389</w:t>
      </w:r>
      <w:r w:rsidR="007C5E07">
        <w:t xml:space="preserve"> points</w:t>
      </w:r>
    </w:p>
    <w:p w:rsidR="00A96C1C" w:rsidRDefault="00A96C1C" w:rsidP="00A96C1C">
      <w:pPr>
        <w:ind w:firstLine="0"/>
      </w:pPr>
    </w:p>
    <w:p w:rsidR="00A96C1C" w:rsidRDefault="00B148DA" w:rsidP="00A96C1C">
      <w:pPr>
        <w:ind w:firstLine="0"/>
      </w:pPr>
      <w:r>
        <w:lastRenderedPageBreak/>
        <w:t xml:space="preserve">All essays completed for this course are to be first-time submissions designed specifically for the assigned requirements.  Essays </w:t>
      </w:r>
      <w:r w:rsidR="005E20FE">
        <w:t xml:space="preserve">presented </w:t>
      </w:r>
      <w:r>
        <w:t>for othe</w:t>
      </w:r>
      <w:r w:rsidR="00745649">
        <w:t xml:space="preserve">r classes will not be accepted.  </w:t>
      </w:r>
      <w:r w:rsidR="007D60A2">
        <w:t>Essays submitted late receive a letter-grade penalty.  Essays more than one week late will not be accepted.</w:t>
      </w:r>
      <w:r w:rsidR="00745649">
        <w:t xml:space="preserve">  </w:t>
      </w:r>
      <w:r w:rsidR="00A96C1C">
        <w:t>Plagiarized work is unacceptable, unethical, and fraudulent.  It resu</w:t>
      </w:r>
      <w:r w:rsidR="00770E72">
        <w:t xml:space="preserve">lts in automatic failure of the </w:t>
      </w:r>
      <w:r w:rsidR="00A96C1C">
        <w:t>course.  In addition, expulsion from the University can occur.</w:t>
      </w:r>
    </w:p>
    <w:p w:rsidR="00A96C1C" w:rsidRDefault="00A96C1C" w:rsidP="00A96C1C">
      <w:pPr>
        <w:ind w:firstLine="0"/>
      </w:pPr>
    </w:p>
    <w:p w:rsidR="00A96C1C" w:rsidRDefault="00A96C1C" w:rsidP="00A96C1C">
      <w:pPr>
        <w:ind w:firstLine="0"/>
      </w:pPr>
      <w:r>
        <w:rPr>
          <w:b/>
        </w:rPr>
        <w:t>Bibliography</w:t>
      </w:r>
    </w:p>
    <w:p w:rsidR="00A96C1C" w:rsidRDefault="00A96C1C" w:rsidP="00A96C1C">
      <w:pPr>
        <w:ind w:firstLine="0"/>
      </w:pPr>
    </w:p>
    <w:p w:rsidR="00A93E54" w:rsidRDefault="007D60A2" w:rsidP="00A93E54">
      <w:pPr>
        <w:ind w:firstLine="0"/>
      </w:pPr>
      <w:r>
        <w:t xml:space="preserve">Allen, Walter.  </w:t>
      </w:r>
      <w:proofErr w:type="gramStart"/>
      <w:r>
        <w:rPr>
          <w:i/>
        </w:rPr>
        <w:t>The English Novel</w:t>
      </w:r>
      <w:r>
        <w:t>.</w:t>
      </w:r>
      <w:proofErr w:type="gramEnd"/>
      <w:r>
        <w:t xml:space="preserve">  New York: Dutton, 1954.</w:t>
      </w:r>
    </w:p>
    <w:p w:rsidR="007D60A2" w:rsidRDefault="007D60A2" w:rsidP="00A93E54">
      <w:pPr>
        <w:ind w:firstLine="0"/>
      </w:pPr>
      <w:r>
        <w:t xml:space="preserve">Bate, Jonathan.  </w:t>
      </w:r>
      <w:proofErr w:type="gramStart"/>
      <w:r>
        <w:rPr>
          <w:i/>
        </w:rPr>
        <w:t>The Genius of Shakespeare</w:t>
      </w:r>
      <w:r>
        <w:t>.</w:t>
      </w:r>
      <w:proofErr w:type="gramEnd"/>
      <w:r>
        <w:t xml:space="preserve">  New York: Oxford UP, 1998.</w:t>
      </w:r>
    </w:p>
    <w:p w:rsidR="007D60A2" w:rsidRDefault="007D60A2" w:rsidP="00A93E54">
      <w:pPr>
        <w:ind w:firstLine="0"/>
      </w:pPr>
      <w:r>
        <w:t xml:space="preserve">Bate, W. Jackson.  </w:t>
      </w:r>
      <w:r>
        <w:rPr>
          <w:i/>
        </w:rPr>
        <w:t>Samuel Johnson</w:t>
      </w:r>
      <w:r>
        <w:t>.  Washington, D.C.: Counterpoint, 1998.</w:t>
      </w:r>
    </w:p>
    <w:p w:rsidR="007D60A2" w:rsidRDefault="007D60A2" w:rsidP="00A93E54">
      <w:pPr>
        <w:ind w:firstLine="0"/>
      </w:pPr>
      <w:r>
        <w:t xml:space="preserve">Benson, Larry D., </w:t>
      </w:r>
      <w:proofErr w:type="gramStart"/>
      <w:r>
        <w:t>ed</w:t>
      </w:r>
      <w:proofErr w:type="gramEnd"/>
      <w:r>
        <w:t xml:space="preserve">.  </w:t>
      </w:r>
      <w:proofErr w:type="gramStart"/>
      <w:r>
        <w:rPr>
          <w:i/>
        </w:rPr>
        <w:t>Riverside Chaucer</w:t>
      </w:r>
      <w:r>
        <w:t>.</w:t>
      </w:r>
      <w:proofErr w:type="gramEnd"/>
      <w:r>
        <w:t xml:space="preserve">  3</w:t>
      </w:r>
      <w:r w:rsidRPr="007D60A2">
        <w:rPr>
          <w:vertAlign w:val="superscript"/>
        </w:rPr>
        <w:t>rd</w:t>
      </w:r>
      <w:r>
        <w:t xml:space="preserve"> </w:t>
      </w:r>
      <w:proofErr w:type="gramStart"/>
      <w:r>
        <w:t>ed</w:t>
      </w:r>
      <w:proofErr w:type="gramEnd"/>
      <w:r>
        <w:t>.  Boston: Houghton, 1987.</w:t>
      </w:r>
    </w:p>
    <w:p w:rsidR="007D60A2" w:rsidRDefault="007D60A2" w:rsidP="00A93E54">
      <w:pPr>
        <w:ind w:firstLine="0"/>
      </w:pPr>
      <w:r>
        <w:t xml:space="preserve">Blake, N. F. </w:t>
      </w:r>
      <w:proofErr w:type="gramStart"/>
      <w:r>
        <w:rPr>
          <w:i/>
        </w:rPr>
        <w:t>A History of the English Language</w:t>
      </w:r>
      <w:r>
        <w:t>.</w:t>
      </w:r>
      <w:proofErr w:type="gramEnd"/>
      <w:r>
        <w:t xml:space="preserve">  Washington Square: New York UP, 1996.</w:t>
      </w:r>
    </w:p>
    <w:p w:rsidR="007D60A2" w:rsidRDefault="007D60A2" w:rsidP="00A93E54">
      <w:pPr>
        <w:ind w:firstLine="0"/>
      </w:pPr>
      <w:r>
        <w:t xml:space="preserve">Boyce, Charles.  </w:t>
      </w:r>
      <w:r>
        <w:rPr>
          <w:i/>
        </w:rPr>
        <w:t>Shakespeare: A to Z</w:t>
      </w:r>
      <w:r>
        <w:t>.  New York: Laurel, 1990.</w:t>
      </w:r>
    </w:p>
    <w:p w:rsidR="007D60A2" w:rsidRDefault="007D60A2" w:rsidP="00A93E54">
      <w:pPr>
        <w:ind w:firstLine="0"/>
      </w:pPr>
      <w:r>
        <w:t xml:space="preserve">Briggs, Asa.  </w:t>
      </w:r>
      <w:proofErr w:type="gramStart"/>
      <w:r>
        <w:rPr>
          <w:i/>
        </w:rPr>
        <w:t>Social History of England</w:t>
      </w:r>
      <w:r>
        <w:t>.</w:t>
      </w:r>
      <w:proofErr w:type="gramEnd"/>
      <w:r>
        <w:t xml:space="preserve">  London: </w:t>
      </w:r>
      <w:proofErr w:type="spellStart"/>
      <w:r>
        <w:t>Weidenfield</w:t>
      </w:r>
      <w:proofErr w:type="spellEnd"/>
      <w:r>
        <w:t>, 1994.</w:t>
      </w:r>
    </w:p>
    <w:p w:rsidR="007D60A2" w:rsidRDefault="007D60A2" w:rsidP="00A93E54">
      <w:pPr>
        <w:ind w:firstLine="0"/>
      </w:pPr>
      <w:proofErr w:type="spellStart"/>
      <w:r>
        <w:t>Coote</w:t>
      </w:r>
      <w:proofErr w:type="spellEnd"/>
      <w:r>
        <w:t xml:space="preserve">, Stephen.  </w:t>
      </w:r>
      <w:proofErr w:type="gramStart"/>
      <w:r>
        <w:rPr>
          <w:i/>
        </w:rPr>
        <w:t>The Penguin Short History of English Literature</w:t>
      </w:r>
      <w:r>
        <w:t>.</w:t>
      </w:r>
      <w:proofErr w:type="gramEnd"/>
      <w:r>
        <w:t xml:space="preserve">  New York: Penguin, 1993.</w:t>
      </w:r>
    </w:p>
    <w:p w:rsidR="007D60A2" w:rsidRDefault="007D60A2" w:rsidP="00A93E54">
      <w:pPr>
        <w:ind w:firstLine="0"/>
      </w:pPr>
      <w:r>
        <w:t xml:space="preserve">Elton, Geoffrey.  </w:t>
      </w:r>
      <w:proofErr w:type="gramStart"/>
      <w:r>
        <w:rPr>
          <w:i/>
        </w:rPr>
        <w:t>The English</w:t>
      </w:r>
      <w:r>
        <w:t>.</w:t>
      </w:r>
      <w:proofErr w:type="gramEnd"/>
      <w:r>
        <w:t xml:space="preserve">  Cambridge: Blackwell: </w:t>
      </w:r>
      <w:r w:rsidR="002A0C1A">
        <w:t>1992.</w:t>
      </w:r>
    </w:p>
    <w:p w:rsidR="002A0C1A" w:rsidRDefault="002A0C1A" w:rsidP="00A93E54">
      <w:pPr>
        <w:ind w:firstLine="0"/>
      </w:pPr>
      <w:r>
        <w:t>Hawkins-</w:t>
      </w:r>
      <w:proofErr w:type="spellStart"/>
      <w:r>
        <w:t>Dady</w:t>
      </w:r>
      <w:proofErr w:type="spellEnd"/>
      <w:r>
        <w:t xml:space="preserve">, Mark.  </w:t>
      </w:r>
      <w:proofErr w:type="gramStart"/>
      <w:r>
        <w:rPr>
          <w:i/>
        </w:rPr>
        <w:t>The Reader’s Guide to Literature in English</w:t>
      </w:r>
      <w:r>
        <w:t>.</w:t>
      </w:r>
      <w:proofErr w:type="gramEnd"/>
      <w:r>
        <w:t xml:space="preserve">  Chicago: Fitzroy, 1996.</w:t>
      </w:r>
    </w:p>
    <w:p w:rsidR="002A0C1A" w:rsidRDefault="002A0C1A" w:rsidP="00A93E54">
      <w:pPr>
        <w:ind w:firstLine="0"/>
      </w:pPr>
      <w:proofErr w:type="spellStart"/>
      <w:r>
        <w:t>Hibbert</w:t>
      </w:r>
      <w:proofErr w:type="spellEnd"/>
      <w:r>
        <w:t xml:space="preserve">, Christopher.  </w:t>
      </w:r>
      <w:proofErr w:type="gramStart"/>
      <w:r>
        <w:rPr>
          <w:i/>
        </w:rPr>
        <w:t>Cavaliers and Roundheads</w:t>
      </w:r>
      <w:r>
        <w:t>.</w:t>
      </w:r>
      <w:proofErr w:type="gramEnd"/>
      <w:r>
        <w:t xml:space="preserve">  New York: Scribner’s, 1993.</w:t>
      </w:r>
    </w:p>
    <w:p w:rsidR="002A0C1A" w:rsidRDefault="002A0C1A" w:rsidP="00A93E54">
      <w:pPr>
        <w:ind w:firstLine="0"/>
      </w:pPr>
      <w:r>
        <w:t xml:space="preserve">Jones, Norman.  </w:t>
      </w:r>
      <w:proofErr w:type="gramStart"/>
      <w:r>
        <w:rPr>
          <w:i/>
        </w:rPr>
        <w:t>Birth of the Elizabethan Age</w:t>
      </w:r>
      <w:r>
        <w:t>.</w:t>
      </w:r>
      <w:proofErr w:type="gramEnd"/>
      <w:r>
        <w:t xml:space="preserve">  Cambridge: Blackwell, 1993.</w:t>
      </w:r>
    </w:p>
    <w:p w:rsidR="002A0C1A" w:rsidRDefault="002A0C1A" w:rsidP="00A93E54">
      <w:pPr>
        <w:ind w:firstLine="0"/>
      </w:pPr>
      <w:proofErr w:type="spellStart"/>
      <w:r>
        <w:t>Kernan</w:t>
      </w:r>
      <w:proofErr w:type="spellEnd"/>
      <w:r>
        <w:t xml:space="preserve">, Alvin.  </w:t>
      </w:r>
      <w:r>
        <w:rPr>
          <w:i/>
        </w:rPr>
        <w:t>Shakespeare, the King’s Playwright</w:t>
      </w:r>
      <w:r>
        <w:t>.  New Haven: Yale UP, 1995.</w:t>
      </w:r>
    </w:p>
    <w:p w:rsidR="002A0C1A" w:rsidRDefault="002A0C1A" w:rsidP="00A93E54">
      <w:pPr>
        <w:ind w:firstLine="0"/>
      </w:pPr>
      <w:r>
        <w:t xml:space="preserve">Lawrence, Robert G.  </w:t>
      </w:r>
      <w:proofErr w:type="gramStart"/>
      <w:r>
        <w:rPr>
          <w:i/>
        </w:rPr>
        <w:t>Restoration Plays</w:t>
      </w:r>
      <w:r>
        <w:t>.</w:t>
      </w:r>
      <w:proofErr w:type="gramEnd"/>
      <w:r>
        <w:t xml:space="preserve">  Rutland: Tuttle, 1994.</w:t>
      </w:r>
    </w:p>
    <w:p w:rsidR="002A0C1A" w:rsidRDefault="002A0C1A" w:rsidP="00A93E54">
      <w:pPr>
        <w:ind w:firstLine="0"/>
      </w:pPr>
      <w:proofErr w:type="spellStart"/>
      <w:r>
        <w:t>MacCaffrey</w:t>
      </w:r>
      <w:proofErr w:type="spellEnd"/>
      <w:r>
        <w:t xml:space="preserve">, Wallace.  </w:t>
      </w:r>
      <w:proofErr w:type="gramStart"/>
      <w:r>
        <w:rPr>
          <w:i/>
        </w:rPr>
        <w:t>Elizabeth I</w:t>
      </w:r>
      <w:r>
        <w:t>.</w:t>
      </w:r>
      <w:proofErr w:type="gramEnd"/>
      <w:r>
        <w:t xml:space="preserve">  New York: Arnold, 1993.</w:t>
      </w:r>
    </w:p>
    <w:p w:rsidR="002A0C1A" w:rsidRDefault="002A0C1A" w:rsidP="00A93E54">
      <w:pPr>
        <w:ind w:firstLine="0"/>
      </w:pPr>
      <w:r>
        <w:t xml:space="preserve">McKeon, Michael.  </w:t>
      </w:r>
      <w:r>
        <w:rPr>
          <w:i/>
        </w:rPr>
        <w:t>Origins of the English Novel, 1600-1740</w:t>
      </w:r>
      <w:r>
        <w:t xml:space="preserve">.  Baltimore: Johns Hopkins UP, </w:t>
      </w:r>
      <w:r>
        <w:tab/>
        <w:t>1987.</w:t>
      </w:r>
    </w:p>
    <w:p w:rsidR="002A0C1A" w:rsidRDefault="002A0C1A" w:rsidP="00A93E54">
      <w:pPr>
        <w:ind w:firstLine="0"/>
      </w:pPr>
      <w:r>
        <w:t xml:space="preserve">Morrill, John, </w:t>
      </w:r>
      <w:proofErr w:type="gramStart"/>
      <w:r>
        <w:t>ed</w:t>
      </w:r>
      <w:proofErr w:type="gramEnd"/>
      <w:r>
        <w:t xml:space="preserve">.  </w:t>
      </w:r>
      <w:proofErr w:type="gramStart"/>
      <w:r>
        <w:rPr>
          <w:i/>
        </w:rPr>
        <w:t>Tudor and Stuart Britain</w:t>
      </w:r>
      <w:r>
        <w:t>.</w:t>
      </w:r>
      <w:proofErr w:type="gramEnd"/>
      <w:r>
        <w:t xml:space="preserve">  New York: Oxford UP, 1996.</w:t>
      </w:r>
    </w:p>
    <w:p w:rsidR="002A0C1A" w:rsidRDefault="002A0C1A" w:rsidP="00A93E54">
      <w:pPr>
        <w:ind w:firstLine="0"/>
      </w:pPr>
      <w:r>
        <w:t xml:space="preserve">Mortimer, Richard.  </w:t>
      </w:r>
      <w:proofErr w:type="spellStart"/>
      <w:proofErr w:type="gramStart"/>
      <w:r>
        <w:rPr>
          <w:i/>
        </w:rPr>
        <w:t>Angevin</w:t>
      </w:r>
      <w:proofErr w:type="spellEnd"/>
      <w:r>
        <w:rPr>
          <w:i/>
        </w:rPr>
        <w:t xml:space="preserve"> England</w:t>
      </w:r>
      <w:r>
        <w:t>.</w:t>
      </w:r>
      <w:proofErr w:type="gramEnd"/>
      <w:r>
        <w:t xml:space="preserve">  Cambridge: Blackwell, 1994.</w:t>
      </w:r>
    </w:p>
    <w:p w:rsidR="002A0C1A" w:rsidRDefault="002A0C1A" w:rsidP="00A93E54">
      <w:pPr>
        <w:ind w:firstLine="0"/>
      </w:pPr>
      <w:proofErr w:type="spellStart"/>
      <w:r>
        <w:t>Ribner</w:t>
      </w:r>
      <w:proofErr w:type="spellEnd"/>
      <w:r>
        <w:t xml:space="preserve">, Irving, and George Lyman Kittredge, </w:t>
      </w:r>
      <w:proofErr w:type="gramStart"/>
      <w:r>
        <w:t>ed</w:t>
      </w:r>
      <w:proofErr w:type="gramEnd"/>
      <w:r>
        <w:t xml:space="preserve">.  </w:t>
      </w:r>
      <w:r>
        <w:rPr>
          <w:i/>
        </w:rPr>
        <w:t>Complete Works of Shakespeare</w:t>
      </w:r>
      <w:r>
        <w:t xml:space="preserve">.  Waltham: </w:t>
      </w:r>
      <w:r>
        <w:tab/>
      </w:r>
      <w:proofErr w:type="spellStart"/>
      <w:r>
        <w:t>Ginn</w:t>
      </w:r>
      <w:proofErr w:type="spellEnd"/>
      <w:r>
        <w:t>, 1971.</w:t>
      </w:r>
    </w:p>
    <w:p w:rsidR="002A0C1A" w:rsidRDefault="002A0C1A" w:rsidP="00A93E54">
      <w:pPr>
        <w:ind w:firstLine="0"/>
      </w:pPr>
      <w:proofErr w:type="spellStart"/>
      <w:r>
        <w:t>Richetti</w:t>
      </w:r>
      <w:proofErr w:type="spellEnd"/>
      <w:r>
        <w:t xml:space="preserve">, John, </w:t>
      </w:r>
      <w:proofErr w:type="gramStart"/>
      <w:r>
        <w:t>ed</w:t>
      </w:r>
      <w:proofErr w:type="gramEnd"/>
      <w:r>
        <w:t xml:space="preserve">.  </w:t>
      </w:r>
      <w:proofErr w:type="gramStart"/>
      <w:r>
        <w:rPr>
          <w:i/>
        </w:rPr>
        <w:t>The Columbia History of the British Novel</w:t>
      </w:r>
      <w:r>
        <w:t>.</w:t>
      </w:r>
      <w:proofErr w:type="gramEnd"/>
      <w:r>
        <w:t xml:space="preserve">  New York: Columbia UP, 1994.</w:t>
      </w:r>
    </w:p>
    <w:p w:rsidR="002A0C1A" w:rsidRDefault="002A0C1A" w:rsidP="00A93E54">
      <w:pPr>
        <w:ind w:firstLine="0"/>
      </w:pPr>
      <w:proofErr w:type="spellStart"/>
      <w:r>
        <w:t>Rossingnol</w:t>
      </w:r>
      <w:proofErr w:type="spellEnd"/>
      <w:r>
        <w:t xml:space="preserve">, Rosalyn.  </w:t>
      </w:r>
      <w:r>
        <w:rPr>
          <w:i/>
        </w:rPr>
        <w:t>Chaucer: A to Z</w:t>
      </w:r>
      <w:r>
        <w:t>.  New York: Facts on File, 1999.</w:t>
      </w:r>
    </w:p>
    <w:p w:rsidR="002A0C1A" w:rsidRDefault="002A0C1A" w:rsidP="00A93E54">
      <w:pPr>
        <w:ind w:firstLine="0"/>
      </w:pPr>
      <w:r>
        <w:t xml:space="preserve">Sanders, Andrew.  </w:t>
      </w:r>
      <w:proofErr w:type="gramStart"/>
      <w:r>
        <w:rPr>
          <w:i/>
        </w:rPr>
        <w:t>Short Oxford History of English Literature</w:t>
      </w:r>
      <w:r>
        <w:t>.</w:t>
      </w:r>
      <w:proofErr w:type="gramEnd"/>
      <w:r>
        <w:t xml:space="preserve">  New York: Oxford UP, 1994.</w:t>
      </w:r>
    </w:p>
    <w:p w:rsidR="004E75CD" w:rsidRDefault="004E75CD" w:rsidP="00A93E54">
      <w:pPr>
        <w:ind w:firstLine="0"/>
      </w:pPr>
      <w:r>
        <w:t xml:space="preserve">Seward, Desmond.  </w:t>
      </w:r>
      <w:proofErr w:type="gramStart"/>
      <w:r>
        <w:rPr>
          <w:i/>
        </w:rPr>
        <w:t>The Wars of the Roses</w:t>
      </w:r>
      <w:r>
        <w:t>.</w:t>
      </w:r>
      <w:proofErr w:type="gramEnd"/>
      <w:r>
        <w:t xml:space="preserve">  New York: Viking, 1995.</w:t>
      </w:r>
    </w:p>
    <w:p w:rsidR="004E75CD" w:rsidRDefault="004E75CD" w:rsidP="00A93E54">
      <w:pPr>
        <w:ind w:firstLine="0"/>
      </w:pPr>
      <w:proofErr w:type="spellStart"/>
      <w:r>
        <w:t>Tydeman</w:t>
      </w:r>
      <w:proofErr w:type="spellEnd"/>
      <w:r>
        <w:t xml:space="preserve">, William, </w:t>
      </w:r>
      <w:proofErr w:type="gramStart"/>
      <w:r>
        <w:t>ed</w:t>
      </w:r>
      <w:proofErr w:type="gramEnd"/>
      <w:r>
        <w:t xml:space="preserve">.  </w:t>
      </w:r>
      <w:proofErr w:type="gramStart"/>
      <w:r>
        <w:rPr>
          <w:i/>
        </w:rPr>
        <w:t>Two Tudor Tragedies</w:t>
      </w:r>
      <w:r>
        <w:t>.</w:t>
      </w:r>
      <w:proofErr w:type="gramEnd"/>
      <w:r>
        <w:t xml:space="preserve">  New York: Penguin, 1992.</w:t>
      </w:r>
    </w:p>
    <w:p w:rsidR="004E75CD" w:rsidRDefault="004E75CD" w:rsidP="00A93E54">
      <w:pPr>
        <w:ind w:firstLine="0"/>
      </w:pPr>
      <w:r>
        <w:t xml:space="preserve">Vaughn, Richard, </w:t>
      </w:r>
      <w:proofErr w:type="gramStart"/>
      <w:r>
        <w:t>ed</w:t>
      </w:r>
      <w:proofErr w:type="gramEnd"/>
      <w:r>
        <w:t xml:space="preserve">.  </w:t>
      </w:r>
      <w:r>
        <w:rPr>
          <w:i/>
        </w:rPr>
        <w:t>The Illustrated Chronicles of Matthew Paris: Observations of Thirteenth-</w:t>
      </w:r>
      <w:r>
        <w:rPr>
          <w:i/>
        </w:rPr>
        <w:tab/>
        <w:t>Century Life</w:t>
      </w:r>
      <w:r>
        <w:t>.  Cambridge: Sutton, 1993.</w:t>
      </w:r>
    </w:p>
    <w:p w:rsidR="004E75CD" w:rsidRDefault="004E75CD" w:rsidP="00A93E54">
      <w:pPr>
        <w:ind w:firstLine="0"/>
      </w:pPr>
      <w:r>
        <w:t xml:space="preserve">Wells, Stanley.  </w:t>
      </w:r>
      <w:r>
        <w:rPr>
          <w:i/>
        </w:rPr>
        <w:t>Shakespeare: A Life in Drama</w:t>
      </w:r>
      <w:r>
        <w:t>.  New York: Norton, 1995.</w:t>
      </w:r>
    </w:p>
    <w:p w:rsidR="004E75CD" w:rsidRDefault="004E75CD" w:rsidP="00A93E54">
      <w:pPr>
        <w:ind w:firstLine="0"/>
      </w:pPr>
      <w:proofErr w:type="spellStart"/>
      <w:r>
        <w:t>Woodring</w:t>
      </w:r>
      <w:proofErr w:type="spellEnd"/>
      <w:r>
        <w:t xml:space="preserve">, Carl, </w:t>
      </w:r>
      <w:proofErr w:type="gramStart"/>
      <w:r>
        <w:t>ed</w:t>
      </w:r>
      <w:proofErr w:type="gramEnd"/>
      <w:r>
        <w:t xml:space="preserve">.  </w:t>
      </w:r>
      <w:proofErr w:type="gramStart"/>
      <w:r>
        <w:rPr>
          <w:i/>
        </w:rPr>
        <w:t>Columbia History of British Poetry</w:t>
      </w:r>
      <w:r>
        <w:t>.</w:t>
      </w:r>
      <w:proofErr w:type="gramEnd"/>
      <w:r>
        <w:t xml:space="preserve">  New York: Columbia UP, 1994.</w:t>
      </w:r>
    </w:p>
    <w:p w:rsidR="004E75CD" w:rsidRDefault="004E75CD" w:rsidP="00A93E54">
      <w:pPr>
        <w:ind w:firstLine="0"/>
      </w:pPr>
      <w:r>
        <w:t xml:space="preserve">Wren, C. L., ed. </w:t>
      </w:r>
      <w:r>
        <w:rPr>
          <w:i/>
        </w:rPr>
        <w:t>Beowulf</w:t>
      </w:r>
      <w:r>
        <w:t>.  Boston: Heath, 1953.</w:t>
      </w:r>
    </w:p>
    <w:p w:rsidR="004E75CD" w:rsidRPr="004E75CD" w:rsidRDefault="004E75CD" w:rsidP="00A93E54">
      <w:pPr>
        <w:ind w:firstLine="0"/>
      </w:pPr>
      <w:r>
        <w:t>Also consult Norton’s selected bibliographies.</w:t>
      </w:r>
    </w:p>
    <w:p w:rsidR="007D60A2" w:rsidRDefault="007D60A2" w:rsidP="00A93E54">
      <w:pPr>
        <w:ind w:firstLine="0"/>
      </w:pPr>
    </w:p>
    <w:p w:rsidR="00BC59BC" w:rsidRDefault="00BC59BC" w:rsidP="00A93E54">
      <w:pPr>
        <w:ind w:firstLine="0"/>
      </w:pPr>
      <w:r>
        <w:rPr>
          <w:b/>
        </w:rPr>
        <w:t>Attendance Policy</w:t>
      </w:r>
    </w:p>
    <w:p w:rsidR="00BC59BC" w:rsidRDefault="00BC59BC" w:rsidP="00A93E54">
      <w:pPr>
        <w:ind w:firstLine="0"/>
      </w:pPr>
    </w:p>
    <w:p w:rsidR="00BC59BC" w:rsidRDefault="00BC59BC" w:rsidP="00A93E54">
      <w:pPr>
        <w:ind w:firstLine="0"/>
      </w:pPr>
      <w:r>
        <w:t xml:space="preserve">Students are expected to attend every meeting of ENG </w:t>
      </w:r>
      <w:r w:rsidR="007D60A2">
        <w:t>33</w:t>
      </w:r>
      <w:r>
        <w:t xml:space="preserve">1.  For illness, unavoidable personal emergencies, and participation in university-sponsored events, the equivalent of two weeks of class (6 sessions in MWF classes; 4 sessions in </w:t>
      </w:r>
      <w:proofErr w:type="spellStart"/>
      <w:r>
        <w:t>TTh</w:t>
      </w:r>
      <w:proofErr w:type="spellEnd"/>
      <w:r>
        <w:t xml:space="preserve"> classes) may be missed without penalty.  Work missed during an absence that is not approved may not be made up.  A total of </w:t>
      </w:r>
      <w:r w:rsidR="00716EC2">
        <w:t>twelve</w:t>
      </w:r>
      <w:r>
        <w:t xml:space="preserve"> absences results in automatic withdrawal from the course.</w:t>
      </w:r>
    </w:p>
    <w:p w:rsidR="003F6AF2" w:rsidRDefault="003F6AF2" w:rsidP="00A93E54">
      <w:pPr>
        <w:ind w:firstLine="0"/>
      </w:pPr>
    </w:p>
    <w:p w:rsidR="00EA31A4" w:rsidRDefault="00B15B85" w:rsidP="00EA31A4">
      <w:pPr>
        <w:ind w:firstLine="0"/>
      </w:pPr>
      <w:r>
        <w:rPr>
          <w:b/>
        </w:rPr>
        <w:t xml:space="preserve">Academic Support </w:t>
      </w:r>
    </w:p>
    <w:p w:rsidR="00EA31A4" w:rsidRDefault="00EA31A4" w:rsidP="00EA31A4">
      <w:pPr>
        <w:ind w:firstLine="0"/>
      </w:pPr>
    </w:p>
    <w:p w:rsidR="00EA31A4" w:rsidRDefault="00EA31A4" w:rsidP="00EA31A4">
      <w:pPr>
        <w:ind w:firstLine="0"/>
      </w:pPr>
      <w:r>
        <w:lastRenderedPageBreak/>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posted announcements.  Ask for tutoring in any subject with which you need help.  Students may also use the Center and Commons in self-guided learning, employing the study rooms or computers and checking out video cameras.</w:t>
      </w:r>
    </w:p>
    <w:p w:rsidR="00EA31A4" w:rsidRDefault="00EA31A4" w:rsidP="00EA31A4">
      <w:pPr>
        <w:ind w:firstLine="0"/>
      </w:pPr>
    </w:p>
    <w:p w:rsidR="00EA31A4" w:rsidRDefault="00EA31A4" w:rsidP="00EA31A4">
      <w:pPr>
        <w:ind w:firstLine="0"/>
        <w:rPr>
          <w:b/>
        </w:rPr>
      </w:pPr>
      <w:r>
        <w:rPr>
          <w:b/>
        </w:rPr>
        <w:t>Title IX Information</w:t>
      </w:r>
    </w:p>
    <w:p w:rsidR="00EA31A4" w:rsidRDefault="00EA31A4" w:rsidP="00EA31A4">
      <w:pPr>
        <w:ind w:firstLine="0"/>
        <w:rPr>
          <w:b/>
        </w:rPr>
      </w:pPr>
    </w:p>
    <w:p w:rsidR="00EA31A4" w:rsidRDefault="00EA31A4" w:rsidP="00EA31A4">
      <w:pPr>
        <w:ind w:firstLine="0"/>
      </w:pPr>
      <w:r>
        <w:t>Campbellsville University and its faculty are committed to assuring a safe and productive educational environment for all students.  In order to meet this commitment and to comply with Title IX of the Educational Amendments of 1972 and guidance from the Office for Civil Rights, the University requires all responsible employees, which includes faculty members, to report incidents of sexual misconduct shared by students to the University’s Title IX Coordinator.</w:t>
      </w:r>
    </w:p>
    <w:p w:rsidR="00EA31A4" w:rsidRDefault="00EA31A4" w:rsidP="00EA31A4">
      <w:pPr>
        <w:ind w:firstLine="0"/>
      </w:pPr>
    </w:p>
    <w:p w:rsidR="00EA31A4" w:rsidRDefault="00EA31A4" w:rsidP="00EA31A4">
      <w:pPr>
        <w:ind w:firstLine="0"/>
      </w:pPr>
      <w:r>
        <w:t>Title IX Coordinator:</w:t>
      </w:r>
    </w:p>
    <w:p w:rsidR="00EA31A4" w:rsidRDefault="00EA31A4" w:rsidP="00EA31A4">
      <w:pPr>
        <w:ind w:firstLine="0"/>
      </w:pPr>
    </w:p>
    <w:p w:rsidR="00EA31A4" w:rsidRDefault="00EA31A4" w:rsidP="00EA31A4">
      <w:pPr>
        <w:ind w:firstLine="0"/>
      </w:pPr>
      <w:r>
        <w:t xml:space="preserve">Terry </w:t>
      </w:r>
      <w:proofErr w:type="spellStart"/>
      <w:r>
        <w:t>VanMeter</w:t>
      </w:r>
      <w:proofErr w:type="spellEnd"/>
    </w:p>
    <w:p w:rsidR="00EA31A4" w:rsidRDefault="00EA31A4" w:rsidP="00EA31A4">
      <w:pPr>
        <w:ind w:firstLine="0"/>
      </w:pPr>
      <w:r>
        <w:t>1 University Drive</w:t>
      </w:r>
    </w:p>
    <w:p w:rsidR="00EA31A4" w:rsidRDefault="00EA31A4" w:rsidP="00EA31A4">
      <w:pPr>
        <w:ind w:firstLine="0"/>
      </w:pPr>
      <w:r>
        <w:t>UPO Box 944</w:t>
      </w:r>
    </w:p>
    <w:p w:rsidR="00EA31A4" w:rsidRDefault="00EA31A4" w:rsidP="00EA31A4">
      <w:pPr>
        <w:ind w:firstLine="0"/>
      </w:pPr>
      <w:r>
        <w:t>Administration Office 8A</w:t>
      </w:r>
    </w:p>
    <w:p w:rsidR="00EA31A4" w:rsidRDefault="00EA31A4" w:rsidP="00EA31A4">
      <w:pPr>
        <w:ind w:firstLine="0"/>
      </w:pPr>
      <w:r>
        <w:t>Phone:  (270) 789-5016</w:t>
      </w:r>
    </w:p>
    <w:p w:rsidR="00EA31A4" w:rsidRDefault="00EA31A4" w:rsidP="00EA31A4">
      <w:pPr>
        <w:ind w:firstLine="0"/>
      </w:pPr>
      <w:r>
        <w:t xml:space="preserve">E-mail:  </w:t>
      </w:r>
      <w:hyperlink r:id="rId9" w:history="1">
        <w:r>
          <w:rPr>
            <w:rStyle w:val="Hyperlink"/>
          </w:rPr>
          <w:t>twvanmeter@campbellsville.edu</w:t>
        </w:r>
      </w:hyperlink>
    </w:p>
    <w:p w:rsidR="00EA31A4" w:rsidRDefault="00EA31A4" w:rsidP="00EA31A4">
      <w:pPr>
        <w:ind w:firstLine="0"/>
      </w:pPr>
    </w:p>
    <w:p w:rsidR="00EA31A4" w:rsidRDefault="00EA31A4" w:rsidP="00EA31A4">
      <w:pPr>
        <w:ind w:firstLine="0"/>
      </w:pPr>
      <w:r>
        <w:t xml:space="preserve">Information regarding the reporting of sexual violence and the resources that are available to victims of sexual violence is set forth at </w:t>
      </w:r>
      <w:hyperlink r:id="rId10" w:history="1">
        <w:r>
          <w:rPr>
            <w:rStyle w:val="Hyperlink"/>
          </w:rPr>
          <w:t>www.campbellsville.edu/titleIX</w:t>
        </w:r>
      </w:hyperlink>
      <w:r>
        <w:t>.</w:t>
      </w:r>
    </w:p>
    <w:p w:rsidR="00EA31A4" w:rsidRDefault="00EA31A4" w:rsidP="00EA31A4">
      <w:pPr>
        <w:ind w:firstLine="0"/>
      </w:pPr>
    </w:p>
    <w:p w:rsidR="00EA31A4" w:rsidRDefault="00EA31A4" w:rsidP="00EA31A4">
      <w:pPr>
        <w:ind w:firstLine="0"/>
        <w:rPr>
          <w:b/>
        </w:rPr>
      </w:pPr>
      <w:r>
        <w:rPr>
          <w:b/>
        </w:rPr>
        <w:t>Disabilities Information</w:t>
      </w:r>
    </w:p>
    <w:p w:rsidR="00EA31A4" w:rsidRDefault="00EA31A4" w:rsidP="00EA31A4">
      <w:pPr>
        <w:ind w:firstLine="0"/>
      </w:pPr>
    </w:p>
    <w:p w:rsidR="00EA31A4" w:rsidRDefault="00EA31A4" w:rsidP="00EA31A4">
      <w:pPr>
        <w:ind w:firstLine="0"/>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EA31A4" w:rsidRDefault="00EA31A4" w:rsidP="00EA31A4">
      <w:pPr>
        <w:ind w:firstLine="0"/>
      </w:pPr>
    </w:p>
    <w:p w:rsidR="00EA31A4" w:rsidRDefault="00EA31A4" w:rsidP="00EA31A4">
      <w:pPr>
        <w:ind w:firstLine="0"/>
      </w:pPr>
      <w:r>
        <w:rPr>
          <w:b/>
        </w:rPr>
        <w:t>Campus Security</w:t>
      </w:r>
      <w:r>
        <w:t xml:space="preserve"> can be reached at 270-789-5555 and 270-403-3611.</w:t>
      </w:r>
    </w:p>
    <w:p w:rsidR="00EA31A4" w:rsidRDefault="00EA31A4" w:rsidP="00A93E54">
      <w:pPr>
        <w:ind w:firstLine="0"/>
      </w:pPr>
    </w:p>
    <w:sectPr w:rsidR="00EA3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47" w:rsidRDefault="00F92D47" w:rsidP="00757A49">
      <w:r>
        <w:separator/>
      </w:r>
    </w:p>
  </w:endnote>
  <w:endnote w:type="continuationSeparator" w:id="0">
    <w:p w:rsidR="00F92D47" w:rsidRDefault="00F92D47" w:rsidP="0075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47" w:rsidRDefault="00F92D47" w:rsidP="00757A49">
      <w:r>
        <w:separator/>
      </w:r>
    </w:p>
  </w:footnote>
  <w:footnote w:type="continuationSeparator" w:id="0">
    <w:p w:rsidR="00F92D47" w:rsidRDefault="00F92D47" w:rsidP="00757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4A6"/>
    <w:multiLevelType w:val="hybridMultilevel"/>
    <w:tmpl w:val="961EA19E"/>
    <w:lvl w:ilvl="0" w:tplc="568A82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442C39"/>
    <w:multiLevelType w:val="hybridMultilevel"/>
    <w:tmpl w:val="7BD4F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B31B3"/>
    <w:multiLevelType w:val="hybridMultilevel"/>
    <w:tmpl w:val="72B4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E0A4C"/>
    <w:multiLevelType w:val="hybridMultilevel"/>
    <w:tmpl w:val="9222C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AE0781"/>
    <w:multiLevelType w:val="hybridMultilevel"/>
    <w:tmpl w:val="457E4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92571"/>
    <w:multiLevelType w:val="hybridMultilevel"/>
    <w:tmpl w:val="DA8AA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B5884"/>
    <w:multiLevelType w:val="hybridMultilevel"/>
    <w:tmpl w:val="78C46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F0DB6"/>
    <w:multiLevelType w:val="hybridMultilevel"/>
    <w:tmpl w:val="5950E8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442B54"/>
    <w:multiLevelType w:val="hybridMultilevel"/>
    <w:tmpl w:val="C5086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3487B"/>
    <w:multiLevelType w:val="hybridMultilevel"/>
    <w:tmpl w:val="446A1F82"/>
    <w:lvl w:ilvl="0" w:tplc="03842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4"/>
  </w:num>
  <w:num w:numId="5">
    <w:abstractNumId w:val="0"/>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E"/>
    <w:rsid w:val="00047D31"/>
    <w:rsid w:val="00063768"/>
    <w:rsid w:val="0008395E"/>
    <w:rsid w:val="000A690C"/>
    <w:rsid w:val="000F622E"/>
    <w:rsid w:val="00137B45"/>
    <w:rsid w:val="001A556F"/>
    <w:rsid w:val="001B782D"/>
    <w:rsid w:val="001C0C5E"/>
    <w:rsid w:val="00275338"/>
    <w:rsid w:val="0027777F"/>
    <w:rsid w:val="002A0C1A"/>
    <w:rsid w:val="002C2ED2"/>
    <w:rsid w:val="00302E08"/>
    <w:rsid w:val="00335935"/>
    <w:rsid w:val="00365DCB"/>
    <w:rsid w:val="003736B2"/>
    <w:rsid w:val="0037594D"/>
    <w:rsid w:val="00382690"/>
    <w:rsid w:val="003A0D75"/>
    <w:rsid w:val="003F6AF2"/>
    <w:rsid w:val="00417863"/>
    <w:rsid w:val="004230AE"/>
    <w:rsid w:val="00427FE6"/>
    <w:rsid w:val="00442D86"/>
    <w:rsid w:val="00456D5E"/>
    <w:rsid w:val="00472195"/>
    <w:rsid w:val="004A12BA"/>
    <w:rsid w:val="004E75CD"/>
    <w:rsid w:val="00525462"/>
    <w:rsid w:val="005316F1"/>
    <w:rsid w:val="00551169"/>
    <w:rsid w:val="005526E1"/>
    <w:rsid w:val="005A0BA3"/>
    <w:rsid w:val="005A1FB7"/>
    <w:rsid w:val="005E20FE"/>
    <w:rsid w:val="005E7582"/>
    <w:rsid w:val="0060368F"/>
    <w:rsid w:val="00604DC5"/>
    <w:rsid w:val="00625983"/>
    <w:rsid w:val="00655144"/>
    <w:rsid w:val="0067150A"/>
    <w:rsid w:val="0067438E"/>
    <w:rsid w:val="00676FBC"/>
    <w:rsid w:val="00682FBE"/>
    <w:rsid w:val="00693D37"/>
    <w:rsid w:val="006D132A"/>
    <w:rsid w:val="006E6775"/>
    <w:rsid w:val="006E738C"/>
    <w:rsid w:val="00716EC2"/>
    <w:rsid w:val="00741821"/>
    <w:rsid w:val="00743D3B"/>
    <w:rsid w:val="00745649"/>
    <w:rsid w:val="00757A49"/>
    <w:rsid w:val="00770E72"/>
    <w:rsid w:val="00797DFC"/>
    <w:rsid w:val="007A3E6C"/>
    <w:rsid w:val="007C5E07"/>
    <w:rsid w:val="007D60A2"/>
    <w:rsid w:val="008662F0"/>
    <w:rsid w:val="00870D5E"/>
    <w:rsid w:val="008731C3"/>
    <w:rsid w:val="00886368"/>
    <w:rsid w:val="008D7AFB"/>
    <w:rsid w:val="00906F5C"/>
    <w:rsid w:val="00917A6E"/>
    <w:rsid w:val="00930012"/>
    <w:rsid w:val="00937690"/>
    <w:rsid w:val="009943B3"/>
    <w:rsid w:val="009F2ECF"/>
    <w:rsid w:val="00A649FC"/>
    <w:rsid w:val="00A93E54"/>
    <w:rsid w:val="00A96C1C"/>
    <w:rsid w:val="00AD701C"/>
    <w:rsid w:val="00AF6A9C"/>
    <w:rsid w:val="00B10AC3"/>
    <w:rsid w:val="00B148DA"/>
    <w:rsid w:val="00B15B85"/>
    <w:rsid w:val="00B41412"/>
    <w:rsid w:val="00B81FC6"/>
    <w:rsid w:val="00BC59BC"/>
    <w:rsid w:val="00BD5665"/>
    <w:rsid w:val="00C41E5D"/>
    <w:rsid w:val="00C43C96"/>
    <w:rsid w:val="00C64265"/>
    <w:rsid w:val="00C862A1"/>
    <w:rsid w:val="00C97DCD"/>
    <w:rsid w:val="00CD1BDF"/>
    <w:rsid w:val="00D00AE3"/>
    <w:rsid w:val="00D11CB1"/>
    <w:rsid w:val="00D140E6"/>
    <w:rsid w:val="00D2216C"/>
    <w:rsid w:val="00D459FF"/>
    <w:rsid w:val="00D770BC"/>
    <w:rsid w:val="00E620BE"/>
    <w:rsid w:val="00E7212D"/>
    <w:rsid w:val="00E832A4"/>
    <w:rsid w:val="00E87C6C"/>
    <w:rsid w:val="00EA31A4"/>
    <w:rsid w:val="00EB648E"/>
    <w:rsid w:val="00F61D54"/>
    <w:rsid w:val="00F858CC"/>
    <w:rsid w:val="00F92D47"/>
    <w:rsid w:val="00FD58A0"/>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57A49"/>
    <w:pPr>
      <w:tabs>
        <w:tab w:val="center" w:pos="4680"/>
        <w:tab w:val="right" w:pos="9360"/>
      </w:tabs>
    </w:pPr>
  </w:style>
  <w:style w:type="character" w:customStyle="1" w:styleId="HeaderChar">
    <w:name w:val="Header Char"/>
    <w:basedOn w:val="DefaultParagraphFont"/>
    <w:link w:val="Header"/>
    <w:uiPriority w:val="99"/>
    <w:rsid w:val="00757A49"/>
  </w:style>
  <w:style w:type="paragraph" w:styleId="Footer">
    <w:name w:val="footer"/>
    <w:basedOn w:val="Normal"/>
    <w:link w:val="FooterChar"/>
    <w:uiPriority w:val="99"/>
    <w:unhideWhenUsed/>
    <w:rsid w:val="00757A49"/>
    <w:pPr>
      <w:tabs>
        <w:tab w:val="center" w:pos="4680"/>
        <w:tab w:val="right" w:pos="9360"/>
      </w:tabs>
    </w:pPr>
  </w:style>
  <w:style w:type="character" w:customStyle="1" w:styleId="FooterChar">
    <w:name w:val="Footer Char"/>
    <w:basedOn w:val="DefaultParagraphFont"/>
    <w:link w:val="Footer"/>
    <w:uiPriority w:val="99"/>
    <w:rsid w:val="00757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57A49"/>
    <w:pPr>
      <w:tabs>
        <w:tab w:val="center" w:pos="4680"/>
        <w:tab w:val="right" w:pos="9360"/>
      </w:tabs>
    </w:pPr>
  </w:style>
  <w:style w:type="character" w:customStyle="1" w:styleId="HeaderChar">
    <w:name w:val="Header Char"/>
    <w:basedOn w:val="DefaultParagraphFont"/>
    <w:link w:val="Header"/>
    <w:uiPriority w:val="99"/>
    <w:rsid w:val="00757A49"/>
  </w:style>
  <w:style w:type="paragraph" w:styleId="Footer">
    <w:name w:val="footer"/>
    <w:basedOn w:val="Normal"/>
    <w:link w:val="FooterChar"/>
    <w:uiPriority w:val="99"/>
    <w:unhideWhenUsed/>
    <w:rsid w:val="00757A49"/>
    <w:pPr>
      <w:tabs>
        <w:tab w:val="center" w:pos="4680"/>
        <w:tab w:val="right" w:pos="9360"/>
      </w:tabs>
    </w:pPr>
  </w:style>
  <w:style w:type="character" w:customStyle="1" w:styleId="FooterChar">
    <w:name w:val="Footer Char"/>
    <w:basedOn w:val="DefaultParagraphFont"/>
    <w:link w:val="Footer"/>
    <w:uiPriority w:val="99"/>
    <w:rsid w:val="0075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tafford@campbellsvill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2010-08-23T00:34:00Z</cp:lastPrinted>
  <dcterms:created xsi:type="dcterms:W3CDTF">2016-08-30T02:58:00Z</dcterms:created>
  <dcterms:modified xsi:type="dcterms:W3CDTF">2016-08-30T02:58:00Z</dcterms:modified>
</cp:coreProperties>
</file>